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265—24.3</w:t>
      </w:r>
      <w:r>
        <w:rPr>
          <w:rFonts w:ascii="Times New Roman" w:hAnsi="Times New Roman"/>
          <w:b/>
          <w:i w:val="false"/>
          <w:color w:val="000000"/>
          <w:sz w:val="22"/>
        </w:rPr>
        <w:t xml:space="preserve">(16) </w:t>
      </w:r>
      <w:r>
        <w:rPr>
          <w:rFonts w:ascii="Times New Roman" w:hAnsi="Times New Roman"/>
          <w:b/>
          <w:i w:val="false"/>
          <w:color w:val="000000"/>
          <w:sz w:val="22"/>
        </w:rPr>
        <w:t xml:space="preserve">Eligibility requirements. </w:t>
      </w:r>
      <w:r>
        <w:rPr>
          <w:rFonts w:ascii="Times New Roman" w:hAnsi="Times New Roman"/>
          <w:b w:val="false"/>
          <w:i w:val="false"/>
          <w:color w:val="000000"/>
          <w:sz w:val="22"/>
        </w:rPr>
        <w:t>All of the following criteria shall be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24.3(1)</w:t>
      </w:r>
      <w:r>
        <w:rPr>
          <w:rFonts w:ascii="Times New Roman" w:hAnsi="Times New Roman"/>
          <w:b w:val="false"/>
          <w:i w:val="false"/>
          <w:color w:val="000000"/>
          <w:sz w:val="22"/>
        </w:rPr>
        <w:t> </w:t>
      </w:r>
      <w:r>
        <w:rPr>
          <w:rFonts w:ascii="Times New Roman" w:hAnsi="Times New Roman"/>
          <w:b w:val="false"/>
          <w:i/>
          <w:color w:val="000000"/>
          <w:sz w:val="22"/>
        </w:rPr>
        <w:t xml:space="preserve">Demonstrated need. </w:t>
      </w:r>
      <w:r>
        <w:rPr>
          <w:rFonts w:ascii="Times New Roman" w:hAnsi="Times New Roman"/>
          <w:b w:val="false"/>
          <w:i w:val="false"/>
          <w:color w:val="000000"/>
          <w:sz w:val="22"/>
        </w:rPr>
        <w:t>An applicant must demonstrate need for rent subsidy by meeting all of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applicant shall provide a copy of an executed rental agreement showing the applicant as a tenant, with signatures by the landlord and the applicant or the applicant’s legal guardian;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applicant shall provide evidence that the applicant pays more than 30 percent of the applicant’s gross income for rent, with a minimum contribution of $25 per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applicant shall not receive any other permanent rental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applicant may not use this program to substitute for any other permanent rent subsidy that the applicant had been receiving at the time of or immediately prior to the time of application to this program;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applicant’s rental unit must be a qualified rental unit and may not be owned by someone who lives in the unit.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24.3(2)</w:t>
      </w:r>
      <w:r>
        <w:rPr>
          <w:rFonts w:ascii="Times New Roman" w:hAnsi="Times New Roman"/>
          <w:b w:val="false"/>
          <w:i w:val="false"/>
          <w:color w:val="000000"/>
          <w:sz w:val="22"/>
        </w:rPr>
        <w:t> </w:t>
      </w:r>
      <w:r>
        <w:rPr>
          <w:rFonts w:ascii="Times New Roman" w:hAnsi="Times New Roman"/>
          <w:b w:val="false"/>
          <w:i/>
          <w:color w:val="000000"/>
          <w:sz w:val="22"/>
        </w:rPr>
        <w:t xml:space="preserve">Ineligible for other rent subsidies. </w:t>
      </w:r>
      <w:r>
        <w:rPr>
          <w:rFonts w:ascii="Times New Roman" w:hAnsi="Times New Roman"/>
          <w:b w:val="false"/>
          <w:i w:val="false"/>
          <w:color w:val="000000"/>
          <w:sz w:val="22"/>
        </w:rPr>
        <w:t>The applicant shall have been determined ineligible or be on the waiting list, or provide documentation that the waiting list is closed, under the HUD Housing Choice Voucher (HCV) program administered by Iowa’s public housing authorities. In the event that the HCV waiting list is currently closed, the applicant is responsible for monitoring the status of the waiting list application period and must apply at the first available opportunity and provide documentation of HCV application submission to the local public housing authority or be subject to removal from the HCBS rent subsidy program or the HCBS rent subsidy program waiting list.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3423C</w:t>
      </w:r>
      <w:r>
        <w:rPr>
          <w:rFonts w:ascii="Times New Roman" w:hAnsi="Times New Roman"/>
          <w:b w:val="false"/>
          <w:i w:val="false"/>
          <w:color w:val="000000"/>
          <w:sz w:val="16"/>
        </w:rPr>
        <w:t>, IAB 10/25/17, effective 11/29/17</w:t>
      </w:r>
      <w:r>
        <w:rPr>
          <w:rFonts w:ascii="Times New Roman" w:hAnsi="Times New Roman"/>
          <w:b w:val="false"/>
          <w:i w:val="false"/>
          <w:color w:val="000000"/>
          <w:sz w:val="16"/>
        </w:rPr>
        <w:t xml:space="preserve">; </w:t>
      </w:r>
      <w:r>
        <w:rPr>
          <w:rFonts w:ascii="Times New Roman" w:hAnsi="Times New Roman"/>
          <w:b/>
          <w:i w:val="false"/>
          <w:color w:val="000000"/>
          <w:sz w:val="16"/>
        </w:rPr>
        <w:t>ARC 4038C</w:t>
      </w:r>
      <w:r>
        <w:rPr>
          <w:rFonts w:ascii="Times New Roman" w:hAnsi="Times New Roman"/>
          <w:b w:val="false"/>
          <w:i w:val="false"/>
          <w:color w:val="000000"/>
          <w:sz w:val="16"/>
        </w:rPr>
        <w:t>, IAB 9/26/18, effective 10/31/18</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