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265—23.5</w:t>
      </w:r>
      <w:r>
        <w:rPr>
          <w:rFonts w:ascii="Times New Roman" w:hAnsi="Times New Roman"/>
          <w:b/>
          <w:i w:val="false"/>
          <w:color w:val="000000"/>
          <w:sz w:val="22"/>
        </w:rPr>
        <w:t xml:space="preserve">(16) </w:t>
      </w:r>
      <w:r>
        <w:rPr>
          <w:rFonts w:ascii="Times New Roman" w:hAnsi="Times New Roman"/>
          <w:b/>
          <w:i w:val="false"/>
          <w:color w:val="000000"/>
          <w:sz w:val="22"/>
        </w:rPr>
        <w:t xml:space="preserve">Authority analysis of applications. </w:t>
      </w:r>
      <w:r>
        <w:rPr>
          <w:rFonts w:ascii="Times New Roman" w:hAnsi="Times New Roman"/>
          <w:b w:val="false"/>
          <w:i w:val="false"/>
          <w:color w:val="000000"/>
          <w:sz w:val="22"/>
        </w:rPr>
        <w:t>Authority staff will analyze and underwrite each potential project and will make recommendations for funding assistance to the board of the authority. Authority staff will use such procedures and processes in its underwriting and analysis as it deems necessary and appropriate in connection with furthering the purposes of this program. In addition, the authority anticipates that, because of the complex nature of each transaction and the particular sets of circumstances attributable to each particular application/transaction, the terms and conditions of loans will vary from project to project. The authority will make available its general operating procedures and guidelines for this program.</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