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265—22.8</w:t>
      </w:r>
      <w:r>
        <w:rPr>
          <w:rFonts w:ascii="Times New Roman" w:hAnsi="Times New Roman"/>
          <w:b/>
          <w:i w:val="false"/>
          <w:color w:val="000000"/>
          <w:sz w:val="22"/>
        </w:rPr>
        <w:t xml:space="preserve">(16,PL106-169) </w:t>
      </w:r>
      <w:r>
        <w:rPr>
          <w:rFonts w:ascii="Times New Roman" w:hAnsi="Times New Roman"/>
          <w:b/>
          <w:i w:val="false"/>
          <w:color w:val="000000"/>
          <w:sz w:val="22"/>
        </w:rPr>
        <w:t xml:space="preserve">Eligibility requirements for transitional apartment subsidy. </w:t>
      </w:r>
      <w:r>
        <w:rPr>
          <w:rFonts w:ascii="Times New Roman" w:hAnsi="Times New Roman"/>
          <w:b w:val="false"/>
          <w:i w:val="false"/>
          <w:color w:val="000000"/>
          <w:sz w:val="22"/>
        </w:rPr>
        <w:t>All of the following criteria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22.8(1)</w:t>
      </w:r>
      <w:r>
        <w:rPr>
          <w:rFonts w:ascii="Times New Roman" w:hAnsi="Times New Roman"/>
          <w:b w:val="false"/>
          <w:i w:val="false"/>
          <w:color w:val="000000"/>
          <w:sz w:val="22"/>
        </w:rPr>
        <w:t> </w:t>
      </w:r>
      <w:r>
        <w:rPr>
          <w:rFonts w:ascii="Times New Roman" w:hAnsi="Times New Roman"/>
          <w:b w:val="false"/>
          <w:i w:val="false"/>
          <w:color w:val="000000"/>
          <w:sz w:val="22"/>
        </w:rPr>
        <w:t>The participating organization shall be a contractor or subcontractor of the department of human services’ program of aftercare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22.8(2)</w:t>
      </w:r>
      <w:r>
        <w:rPr>
          <w:rFonts w:ascii="Times New Roman" w:hAnsi="Times New Roman"/>
          <w:b w:val="false"/>
          <w:i w:val="false"/>
          <w:color w:val="000000"/>
          <w:sz w:val="22"/>
        </w:rPr>
        <w:t> </w:t>
      </w:r>
      <w:r>
        <w:rPr>
          <w:rFonts w:ascii="Times New Roman" w:hAnsi="Times New Roman"/>
          <w:b w:val="false"/>
          <w:i w:val="false"/>
          <w:color w:val="000000"/>
          <w:sz w:val="22"/>
        </w:rPr>
        <w:t>The organization shall submit a statement to the authority that the transitional apartment will be used to provide housing and life skills training to assist youth to recognize and accept their personal responsibility related to being a renter.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22.8(3)</w:t>
      </w:r>
      <w:r>
        <w:rPr>
          <w:rFonts w:ascii="Times New Roman" w:hAnsi="Times New Roman"/>
          <w:b w:val="false"/>
          <w:i w:val="false"/>
          <w:color w:val="000000"/>
          <w:sz w:val="22"/>
        </w:rPr>
        <w:t> </w:t>
      </w:r>
      <w:r>
        <w:rPr>
          <w:rFonts w:ascii="Times New Roman" w:hAnsi="Times New Roman"/>
          <w:b w:val="false"/>
          <w:i w:val="false"/>
          <w:color w:val="000000"/>
          <w:sz w:val="22"/>
        </w:rPr>
        <w:t>The organization will lease or sublease the apartment to qualified aftercare services participants who have left foster care on or after their eighteenth birthday.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