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265—22.5</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Amount of rent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Use of subsidy. </w:t>
      </w:r>
      <w:r>
        <w:rPr>
          <w:rFonts w:ascii="Times New Roman" w:hAnsi="Times New Roman"/>
          <w:b w:val="false"/>
          <w:i w:val="false"/>
          <w:color w:val="000000"/>
          <w:sz w:val="22"/>
        </w:rPr>
        <w:t>Assistance shall be used for rental expense directly related to the youth’s lease of a rental unit. The monthly payment shall be for a rental unit with one bedroom or a proportionate share of rental costs in units containing more than one bedroom. An exception for additional bedrooms will be made for minor dependents residing in the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Subsidy amount. </w:t>
      </w:r>
      <w:r>
        <w:rPr>
          <w:rFonts w:ascii="Times New Roman" w:hAnsi="Times New Roman"/>
          <w:b w:val="false"/>
          <w:i w:val="false"/>
          <w:color w:val="000000"/>
          <w:sz w:val="22"/>
        </w:rPr>
        <w:t>The subsidy amount is the difference, not to exceed $350, between: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lesser of the actual rent or fair market rent under guidelines of the applicable HUD low-rent housing program in the county where the youth’s residence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percent of the youth’s monthly gross earned and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color w:val="000000"/>
          <w:sz w:val="22"/>
        </w:rPr>
        <w:t xml:space="preserve">Monthly payment. </w:t>
      </w:r>
      <w:r>
        <w:rPr>
          <w:rFonts w:ascii="Times New Roman" w:hAnsi="Times New Roman"/>
          <w:b w:val="false"/>
          <w:i w:val="false"/>
          <w:color w:val="000000"/>
          <w:sz w:val="22"/>
        </w:rPr>
        <w:t xml:space="preserve">So long as funds remain and eligibility requirements of this chapter continue to be met, the organization shall receive an ongoing monthly payment on behalf of the youth approved for rent subsidy. The monthly payment will equal the amount determined pursuant to subrule </w:t>
      </w:r>
      <w:hyperlink r:id="rId4">
        <w:r>
          <w:rPr>
            <w:rStyle w:val="Hyperlink"/>
            <w:rFonts w:ascii="Times New Roman" w:hAnsi="Times New Roman"/>
            <w:b w:val="false"/>
            <w:i w:val="false"/>
            <w:color w:val="000000"/>
            <w:sz w:val="22"/>
          </w:rPr>
          <w:t>22.5(2)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22.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