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265—22.3</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Eligibility requirements for direct rent subsidy. </w:t>
      </w:r>
      <w:r>
        <w:rPr>
          <w:rFonts w:ascii="Times New Roman" w:hAnsi="Times New Roman"/>
          <w:b w:val="false"/>
          <w:i w:val="false"/>
          <w:color w:val="000000"/>
          <w:sz w:val="22"/>
        </w:rPr>
        <w:t>All of the following criteria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color w:val="000000"/>
          <w:sz w:val="22"/>
        </w:rPr>
        <w:t xml:space="preserve">Aftercare services participant. </w:t>
      </w:r>
      <w:r>
        <w:rPr>
          <w:rFonts w:ascii="Times New Roman" w:hAnsi="Times New Roman"/>
          <w:b w:val="false"/>
          <w:i w:val="false"/>
          <w:color w:val="000000"/>
          <w:sz w:val="22"/>
        </w:rPr>
        <w:t>The youth shall be an active participant in aftercare services, making progress toward an identified goal of obtaining or maintaining stable housing.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color w:val="000000"/>
          <w:sz w:val="22"/>
        </w:rPr>
        <w:t xml:space="preserve">Demonstrated need. </w:t>
      </w:r>
      <w:r>
        <w:rPr>
          <w:rFonts w:ascii="Times New Roman" w:hAnsi="Times New Roman"/>
          <w:b w:val="false"/>
          <w:i w:val="false"/>
          <w:color w:val="000000"/>
          <w:sz w:val="22"/>
        </w:rPr>
        <w:t>To demonstrate need, the youth must provide evidence that the youth is responsible for paying more than 30 percent of the youth’s gross earned and unearned income for rent and that the youth cannot obtain other rental assistance because the youth has been determined ineligible or is on a waiting list for rent subsidy under the U.S. Department of Housing and Urban Development (HUD) or any other available rent subsidy program or because a waiting list for the HUD rent subsidy program or any other rent subsidy program is closed. This program may not be used to substitute for any other subsidy that the youth had been receiving at the time of or immediately prior to the time of application to this program. Youth receiving rental assistance at the time of or immediately prior to the time of application to this program shall not be 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w:t>
      </w:r>
      <w:r>
        <w:rPr>
          <w:rFonts w:ascii="Times New Roman" w:hAnsi="Times New Roman"/>
          <w:b w:val="false"/>
          <w:i w:val="false"/>
          <w:color w:val="000000"/>
          <w:sz w:val="22"/>
        </w:rPr>
        <w:t> </w:t>
      </w:r>
      <w:r>
        <w:rPr>
          <w:rFonts w:ascii="Times New Roman" w:hAnsi="Times New Roman"/>
          <w:b w:val="false"/>
          <w:i/>
          <w:color w:val="000000"/>
          <w:sz w:val="22"/>
        </w:rPr>
        <w:t xml:space="preserve">Education on renter rights and responsibilities. </w:t>
      </w:r>
      <w:r>
        <w:rPr>
          <w:rFonts w:ascii="Times New Roman" w:hAnsi="Times New Roman"/>
          <w:b w:val="false"/>
          <w:i w:val="false"/>
          <w:color w:val="000000"/>
          <w:sz w:val="22"/>
        </w:rPr>
        <w:t>To demonstrate that the youth understands the rights and responsibilities of being a renter, the youth must have either lived in a transitional apartment, completed a renter education and awareness program, be enrolled to participate or be currently participating in a renter education and awareness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w:t>
      </w:r>
      <w:r>
        <w:rPr>
          <w:rFonts w:ascii="Times New Roman" w:hAnsi="Times New Roman"/>
          <w:b w:val="false"/>
          <w:i w:val="false"/>
          <w:color w:val="000000"/>
          <w:sz w:val="22"/>
        </w:rPr>
        <w:t> </w:t>
      </w:r>
      <w:r>
        <w:rPr>
          <w:rFonts w:ascii="Times New Roman" w:hAnsi="Times New Roman"/>
          <w:b w:val="false"/>
          <w:i/>
          <w:color w:val="000000"/>
          <w:sz w:val="22"/>
        </w:rPr>
        <w:t xml:space="preserve">Budget. </w:t>
      </w:r>
      <w:r>
        <w:rPr>
          <w:rFonts w:ascii="Times New Roman" w:hAnsi="Times New Roman"/>
          <w:b w:val="false"/>
          <w:i w:val="false"/>
          <w:color w:val="000000"/>
          <w:sz w:val="22"/>
        </w:rPr>
        <w:t>The youth must submit a budget that demonstrates that the subsidy, when combined with the youth’s gross earned and unearned income, will enable the youth to cover all remaining living expenses (i.e., housing, utilities, clothing, and food).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