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265—22.2</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“Aftercare services” </w:t>
      </w:r>
      <w:r>
        <w:rPr>
          <w:rFonts w:ascii="Times New Roman" w:hAnsi="Times New Roman"/>
          <w:b w:val="false"/>
          <w:i w:val="false"/>
          <w:color w:val="000000"/>
          <w:sz w:val="22"/>
        </w:rPr>
        <w:t>means activities established in an individualized service plan developed with a self-sufficiency advocate which complement the youth’s own efforts in achieving self-sufficiency, such as linking to appropriate community resources and having a safe and stable place to live.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a contractor or subcontractor of the department of human services’ program of aftercare services.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“Rental unit” </w:t>
      </w:r>
      <w:r>
        <w:rPr>
          <w:rFonts w:ascii="Times New Roman" w:hAnsi="Times New Roman"/>
          <w:b w:val="false"/>
          <w:i w:val="false"/>
          <w:color w:val="000000"/>
          <w:sz w:val="22"/>
        </w:rPr>
        <w:t xml:space="preserve">means an apartment, mobile home, or private room for which a signed, written lease exists and which is governed by Iowa Code chapter </w:t>
      </w:r>
      <w:hyperlink r:id="rId4">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“Self-sufficiency advocate” </w:t>
      </w:r>
      <w:r>
        <w:rPr>
          <w:rFonts w:ascii="Times New Roman" w:hAnsi="Times New Roman"/>
          <w:b w:val="false"/>
          <w:i w:val="false"/>
          <w:color w:val="000000"/>
          <w:sz w:val="22"/>
        </w:rPr>
        <w:t>means an employee of the organization, designated by the organization as a case manager to assist youth.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“Transitional apartment” </w:t>
      </w:r>
      <w:r>
        <w:rPr>
          <w:rFonts w:ascii="Times New Roman" w:hAnsi="Times New Roman"/>
          <w:b w:val="false"/>
          <w:i w:val="false"/>
          <w:color w:val="000000"/>
          <w:sz w:val="22"/>
        </w:rPr>
        <w:t>means a rental unit, rented by the organization to the youth and used to provide housing and life skills training required to assist the youth to recognize and accept the personal responsibility related to being a renter.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“Youth” </w:t>
      </w:r>
      <w:r>
        <w:rPr>
          <w:rFonts w:ascii="Times New Roman" w:hAnsi="Times New Roman"/>
          <w:b w:val="false"/>
          <w:i w:val="false"/>
          <w:color w:val="000000"/>
          <w:sz w:val="22"/>
        </w:rPr>
        <w:t>means a person at least 18 but not yet 21 years of age who has left foster care on or after the person’s eighteenth birthday, and who is participating in the program of aftercare services.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62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