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left"/>
      </w:pPr>
      <w:r>
        <w:rPr>
          <w:rFonts w:ascii="Times New Roman" w:hAnsi="Times New Roman"/>
          <w:b/>
          <w:i w:val="false"/>
          <w:color w:val="000000"/>
          <w:sz w:val="22"/>
        </w:rPr>
        <w:t>265—22.14</w:t>
      </w:r>
      <w:r>
        <w:rPr>
          <w:rFonts w:ascii="Times New Roman" w:hAnsi="Times New Roman"/>
          <w:b/>
          <w:i w:val="false"/>
          <w:color w:val="000000"/>
          <w:sz w:val="22"/>
        </w:rPr>
        <w:t xml:space="preserve">(16,PL106-169) </w:t>
      </w:r>
      <w:r>
        <w:rPr>
          <w:rFonts w:ascii="Times New Roman" w:hAnsi="Times New Roman"/>
          <w:b/>
          <w:i w:val="false"/>
          <w:color w:val="000000"/>
          <w:sz w:val="22"/>
        </w:rPr>
        <w:t xml:space="preserve">Appeals.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22.14(1)</w:t>
      </w:r>
      <w:r>
        <w:rPr>
          <w:rFonts w:ascii="Times New Roman" w:hAnsi="Times New Roman"/>
          <w:b w:val="false"/>
          <w:i w:val="false"/>
          <w:color w:val="000000"/>
          <w:sz w:val="22"/>
        </w:rPr>
        <w:t> </w:t>
      </w:r>
      <w:r>
        <w:rPr>
          <w:rFonts w:ascii="Times New Roman" w:hAnsi="Times New Roman"/>
          <w:b w:val="false"/>
          <w:i w:val="false"/>
          <w:color w:val="000000"/>
          <w:sz w:val="22"/>
        </w:rPr>
        <w:t>An applicant whose application has been timely filed may appeal the authority’s decision by filing a written notice of appeal within 14 days of the decision before the Iowa finance authority at the address set forth in rule 265—1.3(16). The notice of appeal must actually be received at that address within the time frame specified in order to be considered timely.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22.14(2)</w:t>
      </w:r>
      <w:r>
        <w:rPr>
          <w:rFonts w:ascii="Times New Roman" w:hAnsi="Times New Roman"/>
          <w:b w:val="false"/>
          <w:i w:val="false"/>
          <w:color w:val="000000"/>
          <w:sz w:val="22"/>
        </w:rPr>
        <w:t> </w:t>
      </w:r>
      <w:r>
        <w:rPr>
          <w:rFonts w:ascii="Times New Roman" w:hAnsi="Times New Roman"/>
          <w:b w:val="false"/>
          <w:i w:val="false"/>
          <w:color w:val="000000"/>
          <w:sz w:val="22"/>
        </w:rPr>
        <w:t>The notice of appeal shall state the grounds upon which the applicant challenges the decision.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22.14(3)</w:t>
      </w:r>
      <w:r>
        <w:rPr>
          <w:rFonts w:ascii="Times New Roman" w:hAnsi="Times New Roman"/>
          <w:b w:val="false"/>
          <w:i w:val="false"/>
          <w:color w:val="000000"/>
          <w:sz w:val="22"/>
        </w:rPr>
        <w:t> </w:t>
      </w:r>
      <w:r>
        <w:rPr>
          <w:rFonts w:ascii="Times New Roman" w:hAnsi="Times New Roman"/>
          <w:b w:val="false"/>
          <w:i w:val="false"/>
          <w:color w:val="000000"/>
          <w:sz w:val="22"/>
        </w:rPr>
        <w:t>An appeal shall be heard by the executive director of the Iowa finance authority. The executive director shall grant the appellant reasonable opportunity to gather information and inquire as to why the decision in question was made. The executive director shall allow the appellant to present all the relevant facts supporting the appellant’s position. Such presentation shall be held not later than 30 days after the filing of an appeal, unless the parties agree to hold the presentation on a later date.</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22.14(4)</w:t>
      </w:r>
      <w:r>
        <w:rPr>
          <w:rFonts w:ascii="Times New Roman" w:hAnsi="Times New Roman"/>
          <w:b w:val="false"/>
          <w:i w:val="false"/>
          <w:color w:val="000000"/>
          <w:sz w:val="22"/>
        </w:rPr>
        <w:t> </w:t>
      </w:r>
      <w:r>
        <w:rPr>
          <w:rFonts w:ascii="Times New Roman" w:hAnsi="Times New Roman"/>
          <w:b w:val="false"/>
          <w:i w:val="false"/>
          <w:color w:val="000000"/>
          <w:sz w:val="22"/>
        </w:rPr>
        <w:t>Within 7 days of the presentation, the executive director shall issue a written decision which clearly states whether or not the authority’s decision was appropriate. Such decision shall be delivered to the appellant and the board of directors of the authority.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22.14(5)</w:t>
      </w:r>
      <w:r>
        <w:rPr>
          <w:rFonts w:ascii="Times New Roman" w:hAnsi="Times New Roman"/>
          <w:b w:val="false"/>
          <w:i w:val="false"/>
          <w:color w:val="000000"/>
          <w:sz w:val="22"/>
        </w:rPr>
        <w:t> </w:t>
      </w:r>
      <w:r>
        <w:rPr>
          <w:rFonts w:ascii="Times New Roman" w:hAnsi="Times New Roman"/>
          <w:b w:val="false"/>
          <w:i w:val="false"/>
          <w:color w:val="000000"/>
          <w:sz w:val="22"/>
        </w:rPr>
        <w:t>If the executive director determines that the authority’s decision was not appropriate, the executive director shall recommend to the authority’s board a proper remedy.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22.14(6)</w:t>
      </w:r>
      <w:r>
        <w:rPr>
          <w:rFonts w:ascii="Times New Roman" w:hAnsi="Times New Roman"/>
          <w:b w:val="false"/>
          <w:i w:val="false"/>
          <w:color w:val="000000"/>
          <w:sz w:val="22"/>
        </w:rPr>
        <w:t> </w:t>
      </w:r>
      <w:r>
        <w:rPr>
          <w:rFonts w:ascii="Times New Roman" w:hAnsi="Times New Roman"/>
          <w:b w:val="false"/>
          <w:i w:val="false"/>
          <w:color w:val="000000"/>
          <w:sz w:val="22"/>
        </w:rPr>
        <w:t>Final agency action. After receiving a written decision from the executive director, the board must either approve or decline to approve the executive director’s recommendation no later than the next regularly scheduled board meeting. Such action by the board shall be the final decision of the agency.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22.14(7)</w:t>
      </w:r>
      <w:r>
        <w:rPr>
          <w:rFonts w:ascii="Times New Roman" w:hAnsi="Times New Roman"/>
          <w:b w:val="false"/>
          <w:i w:val="false"/>
          <w:color w:val="000000"/>
          <w:sz w:val="22"/>
        </w:rPr>
        <w:t> </w:t>
      </w:r>
      <w:r>
        <w:rPr>
          <w:rFonts w:ascii="Times New Roman" w:hAnsi="Times New Roman"/>
          <w:b w:val="false"/>
          <w:i w:val="false"/>
          <w:color w:val="000000"/>
          <w:sz w:val="22"/>
        </w:rPr>
        <w:t xml:space="preserve">Judicial review. Judicial review of the authority’s final decisions may be sought in accordance with Iowa Code section </w:t>
      </w:r>
      <w:hyperlink r:id="rId4">
        <w:r>
          <w:rPr>
            <w:rStyle w:val="Hyperlink"/>
            <w:rFonts w:ascii="Times New Roman" w:hAnsi="Times New Roman"/>
            <w:b w:val="false"/>
            <w:i w:val="false"/>
            <w:color w:val="000000"/>
            <w:sz w:val="22"/>
          </w:rPr>
          <w:t>17A.19</w:t>
        </w:r>
      </w:hyperlink>
      <w:r>
        <w:rPr>
          <w:rFonts w:ascii="Times New Roman" w:hAnsi="Times New Roman"/>
          <w:b w:val="false"/>
          <w:i w:val="false"/>
          <w:color w:val="000000"/>
          <w:sz w:val="22"/>
        </w:rPr>
        <w:t>.</w:t>
      </w:r>
    </w:p>
    <w:p>
      <w:pPr>
        <w:spacing w:before="0" w:after="0" w:line="240"/>
        <w:ind w:left="120"/>
        <w:jc w:val="left"/>
      </w:pPr>
      <w:r>
        <w:rPr>
          <w:rFonts w:ascii="Times New Roman" w:hAnsi="Times New Roman"/>
          <w:b w:val="false"/>
          <w:i w:val="false"/>
          <w:color w:val="000000"/>
          <w:sz w:val="16"/>
        </w:rPr>
        <w:t>[</w:t>
      </w:r>
      <w:r>
        <w:rPr>
          <w:rFonts w:ascii="Times New Roman" w:hAnsi="Times New Roman"/>
          <w:b/>
          <w:i w:val="false"/>
          <w:color w:val="000000"/>
          <w:sz w:val="16"/>
        </w:rPr>
        <w:t>ARC 4319C</w:t>
      </w:r>
      <w:r>
        <w:rPr>
          <w:rFonts w:ascii="Times New Roman" w:hAnsi="Times New Roman"/>
          <w:b w:val="false"/>
          <w:i w:val="false"/>
          <w:color w:val="000000"/>
          <w:sz w:val="16"/>
        </w:rPr>
        <w:t>, IAB 2/27/19, effective 4/3/19</w:t>
      </w:r>
      <w:r>
        <w:rPr>
          <w:rFonts w:ascii="Times New Roman" w:hAnsi="Times New Roman"/>
          <w:b w:val="false"/>
          <w:i w:val="false"/>
          <w:color w:val="000000"/>
          <w:sz w:val="16"/>
        </w:rPr>
        <w:t>]</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19.pdf" Type="http://schemas.openxmlformats.org/officeDocument/2006/relationships/hyperlink" Id="rId4"/>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