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265—22.13</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Fraudulent practices relating to the aftercare rent subsidy program. </w:t>
      </w:r>
      <w:r>
        <w:rPr>
          <w:rFonts w:ascii="Times New Roman" w:hAnsi="Times New Roman"/>
          <w:b w:val="false"/>
          <w:i w:val="false"/>
          <w:color w:val="000000"/>
          <w:sz w:val="22"/>
        </w:rPr>
        <w:t>If a youth, self-sufficiency advocate, or organization knowingly makes or causes to be made a false statement or representation or knowingly fails to report to the authority any change in circumstances affecting the youth’s or organization’s eligibility for financial assistance under this chapter, the authority may require repayment of the amount that was paid to or on behalf of the youth or organization while the youth or organization was ineligible, as a condition of continued participation in the program.</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