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265—20.5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 of circumstances attributable to each particular application/transaction, the terms and conditions of loans will vary from project to project. The authority will make available its general operating procedures and guidelines for this program.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