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265—20.4</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 based on the following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Projects eligible for assistance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Projects must be developed using low-income housing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must satisfy all of the requirements of the applicable qualified allocation plan, including the plan, application and application instructions, all applicable attachments and exhibits, and applicable provisions of the Internal Revenue Code and the accompanying Treasury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Assistance provided under this program must enable the project to maintain financial feasibility and affordability for at least the term of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Operating and replacement reserve funds must be adequately funded in the amounts required by the applicable qualified allocation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other similar activities as may be determined by the authority to fall within the guidelines and purposes established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Assistance will be provided upon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Generally, the minimum loan amount is $100,000, and the maximum loan amount is $2,000,000. The maximum loan term and amortization period are each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debt service ratio must be at least 1.25:1 for the authority’s first mortgage, as calculated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rates will be set by the authority, in its sole discretion, at or below the applicable federal rate in effect at the time of 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Loans shall be secured by a first mortgage. Construction financing may be awarded to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Recipients of assistance must agree to observe several covenants and restrictions, including but not limited to recorded affordability and transfer restrictions, all in accordance with such loan and mortgage documents as may be required by the authority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recipient must provide adequate evidence that its title in the real estate on which the project is to be located is a marketable title pursuant to Iowa Land Title Examination Standards, or other applicable law. Adequate evidence of marketable title is demonstrated by either (1) a title opinion of an attorney authorized to practice law in Iowa showing that the loan recipient has marketable title, or (2) a title guaranty certificate issued by the title guaranty division of the Iowa finance authority showing the recipient as the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Recipients must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val="false"/>
          <w:color w:val="000000"/>
          <w:sz w:val="22"/>
        </w:rPr>
        <w:t>Loan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Inspection fee (construction loan) – 0.5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