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265—20.3</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process. </w:t>
      </w:r>
      <w:r>
        <w:rPr>
          <w:rFonts w:ascii="Times New Roman" w:hAnsi="Times New Roman"/>
          <w:b w:val="false"/>
          <w:i w:val="false"/>
          <w:color w:val="000000"/>
          <w:sz w:val="22"/>
        </w:rPr>
        <w:t xml:space="preserve">Applications will be reviewed as part of an annual competition. Applications must be submitted in conjunction with the applicant’s application for low-income housing tax credits, as set forth in the applicable qualified allocation plan. Once funds have been allocated, the authority will not accept for review any applications seeking funding until the next low-income housing tax credit application deadline. Applications for assistance under this program must be made on forms and in the manner provided by the authority. Inquiries with respect to this program should be made to those persons identified on the authority’s Web site at </w:t>
      </w:r>
      <w:hyperlink r:id="rId4">
        <w:r>
          <w:rPr>
            <w:rStyle w:val="Hyperlink"/>
            <w:rFonts w:ascii="Times New Roman" w:hAnsi="Times New Roman"/>
            <w:b w:val="false"/>
            <w:i w:val="false"/>
            <w:color w:val="000000"/>
            <w:sz w:val="22"/>
            <w:u w:val="single"/>
          </w:rPr>
          <w:t>www.iowafinanceauthority.gov</w:t>
        </w:r>
      </w:hyperlink>
      <w:r>
        <w:rPr>
          <w:rFonts w:ascii="Times New Roman" w:hAnsi="Times New Roman"/>
          <w:b w:val="false"/>
          <w:i w:val="false"/>
          <w:color w:val="000000"/>
          <w:sz w:val="22"/>
        </w:rPr>
        <w:t xml:space="preserve"> as contacts for this program.</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www.iowafinanceauthority.gov"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