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265—20.2</w:t>
      </w:r>
      <w:r>
        <w:rPr>
          <w:rFonts w:ascii="Times New Roman" w:hAnsi="Times New Roman"/>
          <w:b/>
          <w:i w:val="false"/>
          <w:color w:val="000000"/>
          <w:sz w:val="22"/>
        </w:rPr>
        <w:t xml:space="preserve">(16) </w:t>
      </w:r>
      <w:r>
        <w:rPr>
          <w:rFonts w:ascii="Times New Roman" w:hAnsi="Times New Roman"/>
          <w:b/>
          <w:i w:val="false"/>
          <w:color w:val="000000"/>
          <w:sz w:val="22"/>
        </w:rPr>
        <w:t xml:space="preserve">Priority of loan awards. </w:t>
      </w:r>
      <w:r>
        <w:rPr>
          <w:rFonts w:ascii="Times New Roman" w:hAnsi="Times New Roman"/>
          <w:b w:val="false"/>
          <w:i w:val="false"/>
          <w:color w:val="000000"/>
          <w:sz w:val="22"/>
        </w:rPr>
        <w:t xml:space="preserve">It is the authority’s intent to award loans under the program to those applicants that meet all of the requirements of this chapter and satisfy all threshold and underwriting requirements of the applicable qualified allocation plan adopted by the authority pursuant to </w:t>
      </w:r>
      <w:hyperlink r:id="rId4">
        <w:r>
          <w:rPr>
            <w:rStyle w:val="Hyperlink"/>
            <w:rFonts w:ascii="Times New Roman" w:hAnsi="Times New Roman"/>
            <w:b w:val="false"/>
            <w:i w:val="false"/>
            <w:color w:val="000000"/>
            <w:sz w:val="22"/>
          </w:rPr>
          <w:t>265 IAC 12.1(16)</w:t>
        </w:r>
      </w:hyperlink>
      <w:r>
        <w:rPr>
          <w:rFonts w:ascii="Times New Roman" w:hAnsi="Times New Roman"/>
          <w:b w:val="false"/>
          <w:i w:val="false"/>
          <w:color w:val="000000"/>
          <w:sz w:val="22"/>
        </w:rPr>
        <w:t>. The authority intends to award the available funds under this program each year if applicants meet all applicable requirements; provided, however, that the authority may allocate funds available between affordable assisted living and service-enriched housing in the manner it deems most appropriate. For example, the authority may choose to allocate 80 percent of available funds under the program to affordable assisted living housing and 20 percent to service-enriched housing. The authority will announce its expected allocation of funds prior to each tax credit application deadline. To the extent that sufficient funds are not available to fully fund all applications, taking into consideration the authority’s allocation of funds as described above, loans under this program will be funded in the following order of priority:</w:t>
      </w:r>
    </w:p>
    <w:p>
      <w:pPr>
        <w:spacing w:before="0" w:after="0"/>
        <w:ind w:left="120"/>
        <w:jc w:val="left"/>
      </w:pPr>
      <w:r>
        <w:rPr>
          <w:rFonts w:ascii="Times New Roman" w:hAnsi="Times New Roman"/>
          <w:b w:val="false"/>
          <w:i w:val="false"/>
          <w:color w:val="000000"/>
          <w:sz w:val="22"/>
        </w:rPr>
        <w:t>     1.   </w:t>
      </w:r>
      <w:r>
        <w:rPr>
          <w:rFonts w:ascii="Times New Roman" w:hAnsi="Times New Roman"/>
          <w:b w:val="false"/>
          <w:i w:val="false"/>
          <w:color w:val="000000"/>
          <w:sz w:val="22"/>
        </w:rPr>
        <w:t>Applicants awarded tax credits under the affordable assisted living set-aside;</w:t>
      </w:r>
    </w:p>
    <w:p>
      <w:pPr>
        <w:spacing w:before="0" w:after="0"/>
        <w:ind w:left="120"/>
        <w:jc w:val="left"/>
      </w:pPr>
      <w:r>
        <w:rPr>
          <w:rFonts w:ascii="Times New Roman" w:hAnsi="Times New Roman"/>
          <w:b w:val="false"/>
          <w:i w:val="false"/>
          <w:color w:val="000000"/>
          <w:sz w:val="22"/>
        </w:rPr>
        <w:t>     2.   </w:t>
      </w:r>
      <w:r>
        <w:rPr>
          <w:rFonts w:ascii="Times New Roman" w:hAnsi="Times New Roman"/>
          <w:b w:val="false"/>
          <w:i w:val="false"/>
          <w:color w:val="000000"/>
          <w:sz w:val="22"/>
        </w:rPr>
        <w:t>Applicants awarded tax credits under the service-enriched set-aside; and</w:t>
      </w:r>
    </w:p>
    <w:p>
      <w:pPr>
        <w:spacing w:before="0" w:after="0"/>
        <w:ind w:left="120"/>
        <w:jc w:val="left"/>
      </w:pPr>
      <w:r>
        <w:rPr>
          <w:rFonts w:ascii="Times New Roman" w:hAnsi="Times New Roman"/>
          <w:b w:val="false"/>
          <w:i w:val="false"/>
          <w:color w:val="000000"/>
          <w:sz w:val="22"/>
        </w:rPr>
        <w:t>     3.   </w:t>
      </w:r>
      <w:r>
        <w:rPr>
          <w:rFonts w:ascii="Times New Roman" w:hAnsi="Times New Roman"/>
          <w:b w:val="false"/>
          <w:i w:val="false"/>
          <w:color w:val="000000"/>
          <w:sz w:val="22"/>
        </w:rPr>
        <w:t>Applicants awarded tax credits outside of a set-aside.</w:t>
      </w:r>
    </w:p>
    <w:p>
      <w:pPr>
        <w:spacing w:before="0" w:after="0"/>
        <w:ind w:left="120"/>
        <w:jc w:val="left"/>
      </w:pPr>
      <w:r>
        <w:rPr>
          <w:rFonts w:ascii="Times New Roman" w:hAnsi="Times New Roman"/>
          <w:b w:val="false"/>
          <w:i w:val="false"/>
          <w:color w:val="000000"/>
          <w:sz w:val="22"/>
        </w:rPr>
        <w:t>Applicants within a set-aside will compete based on points awarded under the qualified allocation plan.</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265.12.1.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