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265—12.2</w:t>
      </w:r>
      <w:r>
        <w:rPr>
          <w:rFonts w:ascii="Times New Roman" w:hAnsi="Times New Roman"/>
          <w:b/>
          <w:i w:val="false"/>
          <w:color w:val="000000"/>
          <w:sz w:val="22"/>
        </w:rPr>
        <w:t xml:space="preserve">(16) </w:t>
      </w:r>
      <w:r>
        <w:rPr>
          <w:rFonts w:ascii="Times New Roman" w:hAnsi="Times New Roman"/>
          <w:b/>
          <w:i w:val="false"/>
          <w:color w:val="000000"/>
          <w:sz w:val="22"/>
        </w:rPr>
        <w:t xml:space="preserve">Location of copies of the plans.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12.2(1)</w:t>
      </w:r>
      <w:r>
        <w:rPr>
          <w:rFonts w:ascii="Times New Roman" w:hAnsi="Times New Roman"/>
          <w:b w:val="false"/>
          <w:i w:val="false"/>
          <w:color w:val="000000"/>
          <w:sz w:val="22"/>
        </w:rPr>
        <w:t> </w:t>
      </w:r>
      <w:r>
        <w:rPr>
          <w:rFonts w:ascii="Times New Roman" w:hAnsi="Times New Roman"/>
          <w:b w:val="false"/>
          <w:i/>
          <w:color w:val="000000"/>
          <w:sz w:val="22"/>
        </w:rPr>
        <w:t xml:space="preserve">4% QAP. </w:t>
      </w:r>
      <w:r>
        <w:rPr>
          <w:rFonts w:ascii="Times New Roman" w:hAnsi="Times New Roman"/>
          <w:b w:val="false"/>
          <w:i w:val="false"/>
          <w:color w:val="000000"/>
          <w:sz w:val="22"/>
        </w:rPr>
        <w:t xml:space="preserve">The 4% QAP can be reviewed and copied in its entirety on the authority’s website at </w:t>
      </w:r>
      <w:hyperlink r:id="rId4">
        <w:r>
          <w:rPr>
            <w:rStyle w:val="Hyperlink"/>
            <w:rFonts w:ascii="Times New Roman" w:hAnsi="Times New Roman"/>
            <w:b w:val="false"/>
            <w:i w:val="false"/>
            <w:color w:val="000000"/>
            <w:sz w:val="22"/>
            <w:u w:val="single"/>
          </w:rPr>
          <w:t>www.iowafinance.com</w:t>
        </w:r>
      </w:hyperlink>
      <w:r>
        <w:rPr>
          <w:rFonts w:ascii="Times New Roman" w:hAnsi="Times New Roman"/>
          <w:b w:val="false"/>
          <w:i w:val="false"/>
          <w:color w:val="000000"/>
          <w:sz w:val="22"/>
        </w:rPr>
        <w:t xml:space="preserve">. Copies of the 4% QAP, application, and all related attachments and exhibits shall be deposited with the administrative rules coordinator and at the state law library and shall be available on the authority’s website. The 4% QAP incorporates by reference IRC Section 42 and the regulations in effect as of August 2, 2023. Additionally, the 4% QAP incorporates by reference Iowa Code section </w:t>
      </w:r>
      <w:hyperlink r:id="rId5">
        <w:r>
          <w:rPr>
            <w:rStyle w:val="Hyperlink"/>
            <w:rFonts w:ascii="Times New Roman" w:hAnsi="Times New Roman"/>
            <w:b w:val="false"/>
            <w:i w:val="false"/>
            <w:color w:val="000000"/>
            <w:sz w:val="22"/>
          </w:rPr>
          <w:t>16.35</w:t>
        </w:r>
      </w:hyperlink>
      <w:r>
        <w:rPr>
          <w:rFonts w:ascii="Times New Roman" w:hAnsi="Times New Roman"/>
          <w:b w:val="false"/>
          <w:i w:val="false"/>
          <w:color w:val="000000"/>
          <w:sz w:val="22"/>
        </w:rPr>
        <w:t>. These documents are available from the state law library, and information about these statutes, regulations and rules is on the authority’s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12.2(2)</w:t>
      </w:r>
      <w:r>
        <w:rPr>
          <w:rFonts w:ascii="Times New Roman" w:hAnsi="Times New Roman"/>
          <w:b w:val="false"/>
          <w:i w:val="false"/>
          <w:color w:val="000000"/>
          <w:sz w:val="22"/>
        </w:rPr>
        <w:t> </w:t>
      </w:r>
      <w:r>
        <w:rPr>
          <w:rFonts w:ascii="Times New Roman" w:hAnsi="Times New Roman"/>
          <w:b w:val="false"/>
          <w:i/>
          <w:color w:val="000000"/>
          <w:sz w:val="22"/>
        </w:rPr>
        <w:t xml:space="preserve">9% QAP. </w:t>
      </w:r>
      <w:r>
        <w:rPr>
          <w:rFonts w:ascii="Times New Roman" w:hAnsi="Times New Roman"/>
          <w:b w:val="false"/>
          <w:i w:val="false"/>
          <w:color w:val="000000"/>
          <w:sz w:val="22"/>
        </w:rPr>
        <w:t xml:space="preserve">The 9% QAP can be reviewed and copied in its entirety on the authority’s website at </w:t>
      </w:r>
      <w:hyperlink r:id="rId6">
        <w:r>
          <w:rPr>
            <w:rStyle w:val="Hyperlink"/>
            <w:rFonts w:ascii="Times New Roman" w:hAnsi="Times New Roman"/>
            <w:b w:val="false"/>
            <w:i w:val="false"/>
            <w:color w:val="000000"/>
            <w:sz w:val="22"/>
            <w:u w:val="single"/>
          </w:rPr>
          <w:t>www.iowafinance.com</w:t>
        </w:r>
      </w:hyperlink>
      <w:r>
        <w:rPr>
          <w:rFonts w:ascii="Times New Roman" w:hAnsi="Times New Roman"/>
          <w:b w:val="false"/>
          <w:i w:val="false"/>
          <w:color w:val="000000"/>
          <w:sz w:val="22"/>
        </w:rPr>
        <w:t xml:space="preserve">. Copies of the 9% QAP, the application, and all related attachments and exhibits shall be deposited with the administrative rules coordinator and at the state law library and shall be available on the authority’s website. The 9% QAP incorporates by reference IRC Section 42 and the regulations in effect as of August 2, 2023. Additionally, the 9% QAP incorporates by reference Iowa Code section </w:t>
      </w:r>
      <w:hyperlink r:id="rId7">
        <w:r>
          <w:rPr>
            <w:rStyle w:val="Hyperlink"/>
            <w:rFonts w:ascii="Times New Roman" w:hAnsi="Times New Roman"/>
            <w:b w:val="false"/>
            <w:i w:val="false"/>
            <w:color w:val="000000"/>
            <w:sz w:val="22"/>
          </w:rPr>
          <w:t>16.35</w:t>
        </w:r>
      </w:hyperlink>
      <w:r>
        <w:rPr>
          <w:rFonts w:ascii="Times New Roman" w:hAnsi="Times New Roman"/>
          <w:b w:val="false"/>
          <w:i w:val="false"/>
          <w:color w:val="000000"/>
          <w:sz w:val="22"/>
        </w:rPr>
        <w:t>. These documents are available from the state law library, and information about these statutes, regulations and rules is on the authority’s website.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8266B</w:t>
      </w:r>
      <w:r>
        <w:rPr>
          <w:rFonts w:ascii="Times New Roman" w:hAnsi="Times New Roman"/>
          <w:b w:val="false"/>
          <w:i w:val="false"/>
          <w:color w:val="000000"/>
          <w:sz w:val="16"/>
        </w:rPr>
        <w:t>, IAB 11/4/09, effective 12/9/09</w:t>
      </w:r>
      <w:r>
        <w:rPr>
          <w:rFonts w:ascii="Times New Roman" w:hAnsi="Times New Roman"/>
          <w:b w:val="false"/>
          <w:i w:val="false"/>
          <w:color w:val="000000"/>
          <w:sz w:val="16"/>
        </w:rPr>
        <w:t xml:space="preserve">; </w:t>
      </w:r>
      <w:r>
        <w:rPr>
          <w:rFonts w:ascii="Times New Roman" w:hAnsi="Times New Roman"/>
          <w:b/>
          <w:i w:val="false"/>
          <w:color w:val="000000"/>
          <w:sz w:val="16"/>
        </w:rPr>
        <w:t>ARC 8947B</w:t>
      </w:r>
      <w:r>
        <w:rPr>
          <w:rFonts w:ascii="Times New Roman" w:hAnsi="Times New Roman"/>
          <w:b w:val="false"/>
          <w:i w:val="false"/>
          <w:color w:val="000000"/>
          <w:sz w:val="16"/>
        </w:rPr>
        <w:t>, IAB 7/28/10, effective 7/6/10</w:t>
      </w:r>
      <w:r>
        <w:rPr>
          <w:rFonts w:ascii="Times New Roman" w:hAnsi="Times New Roman"/>
          <w:b w:val="false"/>
          <w:i w:val="false"/>
          <w:color w:val="000000"/>
          <w:sz w:val="16"/>
        </w:rPr>
        <w:t xml:space="preserve">; </w:t>
      </w:r>
      <w:r>
        <w:rPr>
          <w:rFonts w:ascii="Times New Roman" w:hAnsi="Times New Roman"/>
          <w:b/>
          <w:i w:val="false"/>
          <w:color w:val="000000"/>
          <w:sz w:val="16"/>
        </w:rPr>
        <w:t>ARC 9279B</w:t>
      </w:r>
      <w:r>
        <w:rPr>
          <w:rFonts w:ascii="Times New Roman" w:hAnsi="Times New Roman"/>
          <w:b w:val="false"/>
          <w:i w:val="false"/>
          <w:color w:val="000000"/>
          <w:sz w:val="16"/>
        </w:rPr>
        <w:t>, IAB 12/15/10,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9950B</w:t>
      </w:r>
      <w:r>
        <w:rPr>
          <w:rFonts w:ascii="Times New Roman" w:hAnsi="Times New Roman"/>
          <w:b w:val="false"/>
          <w:i w:val="false"/>
          <w:color w:val="000000"/>
          <w:sz w:val="16"/>
        </w:rPr>
        <w:t>, IAB 12/28/11, effective 2/1/12</w:t>
      </w:r>
      <w:r>
        <w:rPr>
          <w:rFonts w:ascii="Times New Roman" w:hAnsi="Times New Roman"/>
          <w:b w:val="false"/>
          <w:i w:val="false"/>
          <w:color w:val="000000"/>
          <w:sz w:val="16"/>
        </w:rPr>
        <w:t xml:space="preserve">; </w:t>
      </w:r>
      <w:r>
        <w:rPr>
          <w:rFonts w:ascii="Times New Roman" w:hAnsi="Times New Roman"/>
          <w:b/>
          <w:i w:val="false"/>
          <w:color w:val="000000"/>
          <w:sz w:val="16"/>
        </w:rPr>
        <w:t>ARC 0427C</w:t>
      </w:r>
      <w:r>
        <w:rPr>
          <w:rFonts w:ascii="Times New Roman" w:hAnsi="Times New Roman"/>
          <w:b w:val="false"/>
          <w:i w:val="false"/>
          <w:color w:val="000000"/>
          <w:sz w:val="16"/>
        </w:rPr>
        <w:t>, IAB 10/31/12, effective 12/5/12</w:t>
      </w:r>
      <w:r>
        <w:rPr>
          <w:rFonts w:ascii="Times New Roman" w:hAnsi="Times New Roman"/>
          <w:b w:val="false"/>
          <w:i w:val="false"/>
          <w:color w:val="000000"/>
          <w:sz w:val="16"/>
        </w:rPr>
        <w:t xml:space="preserve">; </w:t>
      </w:r>
      <w:r>
        <w:rPr>
          <w:rFonts w:ascii="Times New Roman" w:hAnsi="Times New Roman"/>
          <w:b/>
          <w:i w:val="false"/>
          <w:color w:val="000000"/>
          <w:sz w:val="16"/>
        </w:rPr>
        <w:t>ARC 1139C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w:t>
      </w:r>
      <w:r>
        <w:rPr>
          <w:rFonts w:ascii="Times New Roman" w:hAnsi="Times New Roman"/>
          <w:b/>
          <w:i w:val="false"/>
          <w:color w:val="000000"/>
          <w:sz w:val="16"/>
        </w:rPr>
        <w:t>ARC 1700C</w:t>
      </w:r>
      <w:r>
        <w:rPr>
          <w:rFonts w:ascii="Times New Roman" w:hAnsi="Times New Roman"/>
          <w:b w:val="false"/>
          <w:i w:val="false"/>
          <w:color w:val="000000"/>
          <w:sz w:val="16"/>
        </w:rPr>
        <w:t>, IAB 10/29/14, effective 12/3/14</w:t>
      </w:r>
      <w:r>
        <w:rPr>
          <w:rFonts w:ascii="Times New Roman" w:hAnsi="Times New Roman"/>
          <w:b w:val="false"/>
          <w:i w:val="false"/>
          <w:color w:val="000000"/>
          <w:sz w:val="16"/>
        </w:rPr>
        <w:t xml:space="preserve">; </w:t>
      </w:r>
      <w:r>
        <w:rPr>
          <w:rFonts w:ascii="Times New Roman" w:hAnsi="Times New Roman"/>
          <w:b/>
          <w:i w:val="false"/>
          <w:color w:val="000000"/>
          <w:sz w:val="16"/>
        </w:rPr>
        <w:t>ARC 2225C</w:t>
      </w:r>
      <w:r>
        <w:rPr>
          <w:rFonts w:ascii="Times New Roman" w:hAnsi="Times New Roman"/>
          <w:b w:val="false"/>
          <w:i w:val="false"/>
          <w:color w:val="000000"/>
          <w:sz w:val="16"/>
        </w:rPr>
        <w:t>, IAB 10/28/15, effective 12/2/15</w:t>
      </w:r>
      <w:r>
        <w:rPr>
          <w:rFonts w:ascii="Times New Roman" w:hAnsi="Times New Roman"/>
          <w:b w:val="false"/>
          <w:i w:val="false"/>
          <w:color w:val="000000"/>
          <w:sz w:val="16"/>
        </w:rPr>
        <w:t xml:space="preserve">; </w:t>
      </w:r>
      <w:r>
        <w:rPr>
          <w:rFonts w:ascii="Times New Roman" w:hAnsi="Times New Roman"/>
          <w:b/>
          <w:i w:val="false"/>
          <w:color w:val="000000"/>
          <w:sz w:val="16"/>
        </w:rPr>
        <w:t>ARC 2723C</w:t>
      </w:r>
      <w:r>
        <w:rPr>
          <w:rFonts w:ascii="Times New Roman" w:hAnsi="Times New Roman"/>
          <w:b w:val="false"/>
          <w:i w:val="false"/>
          <w:color w:val="000000"/>
          <w:sz w:val="16"/>
        </w:rPr>
        <w:t>, IAB 9/28/16, effective 11/2/16</w:t>
      </w:r>
      <w:r>
        <w:rPr>
          <w:rFonts w:ascii="Times New Roman" w:hAnsi="Times New Roman"/>
          <w:b w:val="false"/>
          <w:i w:val="false"/>
          <w:color w:val="000000"/>
          <w:sz w:val="16"/>
        </w:rPr>
        <w:t xml:space="preserve">; </w:t>
      </w:r>
      <w:r>
        <w:rPr>
          <w:rFonts w:ascii="Times New Roman" w:hAnsi="Times New Roman"/>
          <w:b/>
          <w:i w:val="false"/>
          <w:color w:val="000000"/>
          <w:sz w:val="16"/>
        </w:rPr>
        <w:t>ARC 3338C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4037C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 xml:space="preserve">; </w:t>
      </w:r>
      <w:r>
        <w:rPr>
          <w:rFonts w:ascii="Times New Roman" w:hAnsi="Times New Roman"/>
          <w:b/>
          <w:i w:val="false"/>
          <w:color w:val="000000"/>
          <w:sz w:val="16"/>
        </w:rPr>
        <w:t>ARC 4794C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5717C</w:t>
      </w:r>
      <w:r>
        <w:rPr>
          <w:rFonts w:ascii="Times New Roman" w:hAnsi="Times New Roman"/>
          <w:b w:val="false"/>
          <w:i w:val="false"/>
          <w:color w:val="000000"/>
          <w:sz w:val="16"/>
        </w:rPr>
        <w:t>, IAB 6/16/21, effective 5/28/21</w:t>
      </w:r>
      <w:r>
        <w:rPr>
          <w:rFonts w:ascii="Times New Roman" w:hAnsi="Times New Roman"/>
          <w:b w:val="false"/>
          <w:i w:val="false"/>
          <w:color w:val="000000"/>
          <w:sz w:val="16"/>
        </w:rPr>
        <w:t xml:space="preserve">; </w:t>
      </w:r>
      <w:r>
        <w:rPr>
          <w:rFonts w:ascii="Times New Roman" w:hAnsi="Times New Roman"/>
          <w:b/>
          <w:i w:val="false"/>
          <w:color w:val="000000"/>
          <w:sz w:val="16"/>
        </w:rPr>
        <w:t>ARC 6721C</w:t>
      </w:r>
      <w:r>
        <w:rPr>
          <w:rFonts w:ascii="Times New Roman" w:hAnsi="Times New Roman"/>
          <w:b w:val="false"/>
          <w:i w:val="false"/>
          <w:color w:val="000000"/>
          <w:sz w:val="16"/>
        </w:rPr>
        <w:t>, IAB 12/14/22, effective 11/10/22</w:t>
      </w:r>
      <w:r>
        <w:rPr>
          <w:rFonts w:ascii="Times New Roman" w:hAnsi="Times New Roman"/>
          <w:b w:val="false"/>
          <w:i w:val="false"/>
          <w:color w:val="000000"/>
          <w:sz w:val="16"/>
        </w:rPr>
        <w:t xml:space="preserve">; </w:t>
      </w:r>
      <w:r>
        <w:rPr>
          <w:rFonts w:ascii="Times New Roman" w:hAnsi="Times New Roman"/>
          <w:b/>
          <w:i w:val="false"/>
          <w:color w:val="000000"/>
          <w:sz w:val="16"/>
        </w:rPr>
        <w:t>ARC 6899C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 xml:space="preserve">; </w:t>
      </w:r>
      <w:r>
        <w:rPr>
          <w:rFonts w:ascii="Times New Roman" w:hAnsi="Times New Roman"/>
          <w:b/>
          <w:i w:val="false"/>
          <w:color w:val="000000"/>
          <w:sz w:val="16"/>
        </w:rPr>
        <w:t>ARC 7060C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iowafinance.com/" Type="http://schemas.openxmlformats.org/officeDocument/2006/relationships/hyperlink" Id="rId4"/>
    <Relationship TargetMode="External" Target="https://www.legis.iowa.gov/docs/ico/chapter/16.35.pdf" Type="http://schemas.openxmlformats.org/officeDocument/2006/relationships/hyperlink" Id="rId5"/>
    <Relationship TargetMode="External" Target="http://www.iowafinance.com" Type="http://schemas.openxmlformats.org/officeDocument/2006/relationships/hyperlink" Id="rId6"/>
    <Relationship TargetMode="External" Target="https://www.legis.iowa.gov/docs/ico/chapter/16.35.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