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265—12.1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Qualified allocation plans.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Four percent qualified allocation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qualified allocation plan titled Iowa Finance Authority Low-Income Housing Tax Credit Program 2024 4% Qualified Allocation Plan (“4% QAP”) dated August 2, 2023, shall be the qualified allocation plan for the allocation of 4 percent low-income housing tax credits consistent with IRC Section 42 and the applicable Treasury regulations and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4% QAP is incorporated by reference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265—subrules 17.4(2)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17.12(2)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4% QAP does not include any amendments or editions created subsequent to August 2, 2023.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Nine percent qualified allocation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qualified allocation plan titled Iowa Finance Authority Low-Income Housing Tax Credit Program 2024 9% Qualified Allocation Plan (“9% QAP”) shall be the qualified allocation plan for the allocation of 9 percent low-income housing tax credits consistent with IRC Section 42 and the applicable Treasury regulations and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9% QAP is incorporated by reference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265—subrules 17.4(2)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17.12(2)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9% QAP does not include any amendments or editions created subsequent to August 2, 2023.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8266B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11/4/09, effective 12/9/09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8947B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7/28/10, effective 7/6/10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9279B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12/15/10, effective 1/19/11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9950B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12/28/11, effective 2/1/12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0427C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10/31/12, effective 12/5/12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1139C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10/30/13, effective 12/4/13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1700C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10/29/14, effective 12/3/14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2225C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10/28/15, effective 12/2/15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2723C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9/28/16, effective 11/2/16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3338C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9/27/17, effective 11/1/17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4037C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9/26/18, effective 10/31/18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4794C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12/4/19, effective 1/8/20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5717C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6/16/21, effective 5/28/21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6721C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12/14/22, effective 11/10/22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6899C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2/22/23, effective 3/29/23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7060C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8/23/23, effective 9/27/23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6.35.pdf" Type="http://schemas.openxmlformats.org/officeDocument/2006/relationships/hyperlink" Id="rId4"/>
    <Relationship TargetMode="External" Target="https://www.legis.iowa.gov/docs/ico/chapter/17A.6.pdf" Type="http://schemas.openxmlformats.org/officeDocument/2006/relationships/hyperlink" Id="rId5"/>
    <Relationship TargetMode="External" Target="https://www.legis.iowa.gov/docs/iac/rule/265.17.4.pdf" Type="http://schemas.openxmlformats.org/officeDocument/2006/relationships/hyperlink" Id="rId6"/>
    <Relationship TargetMode="External" Target="https://www.legis.iowa.gov/docs/iac/rule/265.17.12.pdf" Type="http://schemas.openxmlformats.org/officeDocument/2006/relationships/hyperlink" Id="rId7"/>
    <Relationship TargetMode="External" Target="https://www.legis.iowa.gov/docs/ico/chapter/16.35.pdf" Type="http://schemas.openxmlformats.org/officeDocument/2006/relationships/hyperlink" Id="rId8"/>
    <Relationship TargetMode="External" Target="https://www.legis.iowa.gov/docs/ico/chapter/17A.6.pdf" Type="http://schemas.openxmlformats.org/officeDocument/2006/relationships/hyperlink" Id="rId9"/>
    <Relationship TargetMode="External" Target="https://www.legis.iowa.gov/docs/iac/rule/265.17.4.pdf" Type="http://schemas.openxmlformats.org/officeDocument/2006/relationships/hyperlink" Id="rId10"/>
    <Relationship TargetMode="External" Target="https://www.legis.iowa.gov/docs/iac/rule/265.17.12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