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199—44.7</w:t>
      </w:r>
      <w:r>
        <w:rPr>
          <w:rFonts w:ascii="Times New Roman" w:hAnsi="Times New Roman"/>
          <w:b/>
          <w:i w:val="false"/>
          <w:color w:val="000000"/>
          <w:sz w:val="22"/>
        </w:rPr>
        <w:t xml:space="preserve">(17A,476,477A) </w:t>
      </w:r>
      <w:r>
        <w:rPr>
          <w:rFonts w:ascii="Times New Roman" w:hAnsi="Times New Roman"/>
          <w:b/>
          <w:i w:val="false"/>
          <w:color w:val="000000"/>
          <w:sz w:val="22"/>
        </w:rPr>
        <w:t xml:space="preserve">Renewal of certificate of franchise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44.7(1)</w:t>
      </w:r>
      <w:r>
        <w:rPr>
          <w:rFonts w:ascii="Times New Roman" w:hAnsi="Times New Roman"/>
          <w:b w:val="false"/>
          <w:i w:val="false"/>
          <w:color w:val="000000"/>
          <w:sz w:val="22"/>
        </w:rPr>
        <w:t> </w:t>
      </w:r>
      <w:r>
        <w:rPr>
          <w:rFonts w:ascii="Times New Roman" w:hAnsi="Times New Roman"/>
          <w:b w:val="false"/>
          <w:i w:val="false"/>
          <w:color w:val="000000"/>
          <w:sz w:val="22"/>
        </w:rPr>
        <w:t>Thirty days prior to the tenth anniversary of the issuance of the original certificate and every ten years thereafter, the certificate holder shall file with the commission a notice of renewal containing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acknowledgment that the certificate holder continues to hold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that the certificate holder continues to provide cable service or video service or both in all or a portion of its approved service territory;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necessary updates to the address of the principal place of business, the telephone number for customer service, and the names and titles of the principal executive officers with direct authority over and responsibility for the cable or video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list of the approved areas the certificate holder currently is serving;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list of the areas in which the certificate holder was previously authorized to offer service but where service has ceased or never commenced.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renewal shall be filed using the VCA docket number in which the initial certificate was issued. The commission will acknowledge the renewal by letter.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3302C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