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199—44.5</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Conversion of municipal franchise by incumbent cable provider. </w:t>
      </w:r>
      <w:r>
        <w:rPr>
          <w:rFonts w:ascii="Times New Roman" w:hAnsi="Times New Roman"/>
          <w:b w:val="false"/>
          <w:i w:val="false"/>
          <w:color w:val="000000"/>
          <w:sz w:val="22"/>
        </w:rPr>
        <w:t xml:space="preserve">If a competitive cable service provider or a competitive video service provider applies for a certificate of franchise authority to operate within a municipality, the incumbent cable provider in that municipality may apply for a certificate of franchise authority for that same municipality using an application form developed by the commission and providing the information required in </w:t>
      </w:r>
      <w:hyperlink r:id="rId4">
        <w:r>
          <w:rPr>
            <w:rStyle w:val="Hyperlink"/>
            <w:rFonts w:ascii="Times New Roman" w:hAnsi="Times New Roman"/>
            <w:b w:val="false"/>
            <w:i w:val="false"/>
            <w:color w:val="000000"/>
            <w:sz w:val="22"/>
          </w:rPr>
          <w:t>44.3(3)</w:t>
        </w:r>
      </w:hyperlink>
      <w:r>
        <w:rPr>
          <w:rFonts w:ascii="Times New Roman" w:hAnsi="Times New Roman"/>
          <w:b w:val="false"/>
          <w:i w:val="false"/>
          <w:color w:val="000000"/>
          <w:sz w:val="22"/>
        </w:rPr>
        <w:t xml:space="preserve">. The commission shall automatically grant the incumbent’s application, if complete, effective on the same day a competitive cable service provider or competitive video service provider files the 30 days’ notice of offering service as required pursuant to </w:t>
      </w:r>
      <w:hyperlink r:id="rId5">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(17A,476,477A) if the incumbent cable provider files its application within 30 days of the day the competitive service provider provides the 30 days’ notice. If the incumbent cable provider files its application more than 30 days after the date the competitive service provider provides the 30 days’ notice, the commission shall grant the incumbent’s application, if complete, to be effective on the date the application is filed with the commission.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44.3.pdf" Type="http://schemas.openxmlformats.org/officeDocument/2006/relationships/hyperlink" Id="rId4"/>
    <Relationship TargetMode="External" Target="https://www.legis.iowa.gov/docs/iac/rule/199.44.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