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199—44.4</w:t>
      </w:r>
      <w:r>
        <w:rPr>
          <w:rFonts w:ascii="Times New Roman" w:hAnsi="Times New Roman"/>
          <w:b/>
          <w:i w:val="false"/>
          <w:color w:val="000000"/>
          <w:sz w:val="22"/>
        </w:rPr>
        <w:t xml:space="preserve">(17A,476,477A) </w:t>
      </w:r>
      <w:r>
        <w:rPr>
          <w:rFonts w:ascii="Times New Roman" w:hAnsi="Times New Roman"/>
          <w:b/>
          <w:i w:val="false"/>
          <w:color w:val="000000"/>
          <w:sz w:val="22"/>
        </w:rPr>
        <w:t xml:space="preserve">Notice to municipality and incumbent cable provider. </w:t>
      </w:r>
      <w:r>
        <w:rPr>
          <w:rFonts w:ascii="Times New Roman" w:hAnsi="Times New Roman"/>
          <w:b w:val="false"/>
          <w:i w:val="false"/>
          <w:color w:val="000000"/>
          <w:sz w:val="22"/>
        </w:rPr>
        <w:t>A competitive service provider shall notify affected municipalities and incumbent cable providers of its plan to offer service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color w:val="000000"/>
          <w:sz w:val="22"/>
        </w:rPr>
        <w:t xml:space="preserve">Notice of intent to provide service. </w:t>
      </w:r>
      <w:r>
        <w:rPr>
          <w:rFonts w:ascii="Times New Roman" w:hAnsi="Times New Roman"/>
          <w:b w:val="false"/>
          <w:i w:val="false"/>
          <w:color w:val="000000"/>
          <w:sz w:val="22"/>
        </w:rPr>
        <w:t>At least 30 days before providing service in any part of a competitive cable or video service provider’s certificated service area in which the provider has not yet offered service pursuant to a commission-issued certificate of franchise authority, a competitive cable service provider or competitive video service provider shall notify each municipality with authority to grant a franchise in the part of the competitive provider’s service area to be served and the incumbent cable provider in that area that the competitive provider will provide service within the jurisdiction of the municipality and when such service will begin. All notices required by this subrule shall be sent by certified mail. A competitive cable service provider or competitive video service provider shall not provide service without having provided the notice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competitive cable service provider or competitive video service provider shall file a copy of the notice required by this rule with the commission on the date that the notice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competitive cable service provider or competitive video service provider determines that its entry into the market will be delayed, no further notice will be required unless market entry is delayed for more than 30 days after the date service was expected to begin.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color w:val="000000"/>
          <w:sz w:val="22"/>
        </w:rPr>
        <w:t xml:space="preserve">Notice of application. </w:t>
      </w:r>
      <w:r>
        <w:rPr>
          <w:rFonts w:ascii="Times New Roman" w:hAnsi="Times New Roman"/>
          <w:b w:val="false"/>
          <w:i w:val="false"/>
          <w:color w:val="000000"/>
          <w:sz w:val="22"/>
        </w:rPr>
        <w:t>In addition to the notice of intent to provide service, an applicant shall notify each municipality with authority to grant a franchise in the applicant’s proposed service area that the applicant has filed an application with the commission for a certificate of franchise authority. This notice shall be mailed on the date the application is filed with the commission and shall be sent by certified mail.</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9494B</w:t>
      </w:r>
      <w:r>
        <w:rPr>
          <w:rFonts w:ascii="Times New Roman" w:hAnsi="Times New Roman"/>
          <w:b w:val="false"/>
          <w:i w:val="false"/>
          <w:color w:val="000000"/>
          <w:sz w:val="16"/>
        </w:rPr>
        <w:t>, IAB 5/4/11, effective 6/8/11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