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199—41.4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Coincident filing.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utility shall have the option of filing its application for ratemaking principles, as required by this chapter, coincident with the utility’s application for a certificate of public convenience, use, and necessity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199—Chapter 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Identical information required by both chapters need only be included once in a joint principles and certification application.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5206C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10/7/20, effective 11/11/20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199.2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