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199—41.2</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4">
        <w:r>
          <w:rPr>
            <w:rStyle w:val="Hyperlink"/>
            <w:rFonts w:ascii="Times New Roman" w:hAnsi="Times New Roman"/>
            <w:b w:val="false"/>
            <w:i w:val="false"/>
            <w:color w:val="000000"/>
            <w:sz w:val="22"/>
          </w:rPr>
          <w:t>199—41.3</w:t>
        </w:r>
      </w:hyperlink>
      <w:r>
        <w:rPr>
          <w:rFonts w:ascii="Times New Roman" w:hAnsi="Times New Roman"/>
          <w:b w:val="false"/>
          <w:i w:val="false"/>
          <w:color w:val="000000"/>
          <w:sz w:val="22"/>
        </w:rPr>
        <w:t>(476) and 199—41.4(476) apply to any rate-regulated public electric utility proposing to build or lease in Iowa, either in whole or in part, a new baseload generating facility with a nameplate generating capacity equal to or greater than 300 megawatts, a new combined-cycle combustion turbine of any size, a new or repowered alternate energy production facility of any size, or any combination of the above, and desiring predetermination of ratemaking principles to be used in establishing the retail cost recovery of such a facility. These rules set the initial filing requirements in a ratemaking principles proceeding depending on the specific circumstances of a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5">
        <w:r>
          <w:rPr>
            <w:rStyle w:val="Hyperlink"/>
            <w:rFonts w:ascii="Times New Roman" w:hAnsi="Times New Roman"/>
            <w:b w:val="false"/>
            <w:i w:val="false"/>
            <w:color w:val="000000"/>
            <w:sz w:val="22"/>
          </w:rPr>
          <w:t>199—41.5</w:t>
        </w:r>
      </w:hyperlink>
      <w:r>
        <w:rPr>
          <w:rFonts w:ascii="Times New Roman" w:hAnsi="Times New Roman"/>
          <w:b w:val="false"/>
          <w:i w:val="false"/>
          <w:color w:val="000000"/>
          <w:sz w:val="22"/>
        </w:rPr>
        <w:t xml:space="preserve">(476) applies to any rate-regulated public utility acquiring a water, sanitary sewage, or storm water system with a fair market value of $500,000 or more from a non-rate-regulated entity described in Iowa Code section </w:t>
      </w:r>
      <w:hyperlink r:id="rId6">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Rule </w:t>
      </w:r>
      <w:hyperlink r:id="rId7">
        <w:r>
          <w:rPr>
            <w:rStyle w:val="Hyperlink"/>
            <w:rFonts w:ascii="Times New Roman" w:hAnsi="Times New Roman"/>
            <w:b w:val="false"/>
            <w:i w:val="false"/>
            <w:color w:val="000000"/>
            <w:sz w:val="22"/>
          </w:rPr>
          <w:t>199—41.5</w:t>
        </w:r>
      </w:hyperlink>
      <w:r>
        <w:rPr>
          <w:rFonts w:ascii="Times New Roman" w:hAnsi="Times New Roman"/>
          <w:b w:val="false"/>
          <w:i w:val="false"/>
          <w:color w:val="000000"/>
          <w:sz w:val="22"/>
        </w:rPr>
        <w:t>(476) sets the initial filing requirements in a ratemaking principles proceeding related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val="false"/>
          <w:color w:val="000000"/>
          <w:sz w:val="22"/>
        </w:rPr>
        <w:t>The commission may require additional information from an applicant on a case-by-case basis.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41.3.pdf" Type="http://schemas.openxmlformats.org/officeDocument/2006/relationships/hyperlink" Id="rId4"/>
    <Relationship TargetMode="External" Target="https://www.legis.iowa.gov/docs/iac/rule/199.41.5.pdf" Type="http://schemas.openxmlformats.org/officeDocument/2006/relationships/hyperlink" Id="rId5"/>
    <Relationship TargetMode="External" Target="https://www.legis.iowa.gov/docs/ico/chapter/476.1.pdf" Type="http://schemas.openxmlformats.org/officeDocument/2006/relationships/hyperlink" Id="rId6"/>
    <Relationship TargetMode="External" Target="https://www.legis.iowa.gov/docs/iac/rule/199.4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