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199—41.1</w:t>
      </w:r>
      <w:r>
        <w:rPr>
          <w:rFonts w:ascii="Times New Roman" w:hAnsi="Times New Roman"/>
          <w:b/>
          <w:i w:val="false"/>
          <w:color w:val="000000"/>
          <w:sz w:val="22"/>
        </w:rPr>
        <w:t xml:space="preserve">(476) </w:t>
      </w:r>
      <w:r>
        <w:rPr>
          <w:rFonts w:ascii="Times New Roman" w:hAnsi="Times New Roman"/>
          <w:b/>
          <w:i w:val="false"/>
          <w:color w:val="000000"/>
          <w:sz w:val="22"/>
        </w:rPr>
        <w:t xml:space="preserve">Definitions. </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“Affiliate” </w:t>
      </w:r>
      <w:r>
        <w:rPr>
          <w:rFonts w:ascii="Times New Roman" w:hAnsi="Times New Roman"/>
          <w:b w:val="false"/>
          <w:i w:val="false"/>
          <w:color w:val="000000"/>
          <w:sz w:val="22"/>
        </w:rPr>
        <w:t>means a party that directly, or indirectly through one or more intermediaries, controls, is controlled by, or is under common control with a rate-regulated public utility.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“AFUDC” </w:t>
      </w:r>
      <w:r>
        <w:rPr>
          <w:rFonts w:ascii="Times New Roman" w:hAnsi="Times New Roman"/>
          <w:b w:val="false"/>
          <w:i w:val="false"/>
          <w:color w:val="000000"/>
          <w:sz w:val="22"/>
        </w:rPr>
        <w:t>means allowance for funds used during construction.</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“Alternate energy production facility” </w:t>
      </w:r>
      <w:r>
        <w:rPr>
          <w:rFonts w:ascii="Times New Roman" w:hAnsi="Times New Roman"/>
          <w:b w:val="false"/>
          <w:i w:val="false"/>
          <w:color w:val="000000"/>
          <w:sz w:val="22"/>
        </w:rPr>
        <w:t>means any or all of the following:</w:t>
      </w:r>
    </w:p>
    <w:p>
      <w:pPr>
        <w:spacing w:before="0" w:after="0"/>
        <w:ind w:left="120"/>
        <w:jc w:val="left"/>
      </w:pPr>
      <w:r>
        <w:rPr>
          <w:rFonts w:ascii="Times New Roman" w:hAnsi="Times New Roman"/>
          <w:b w:val="false"/>
          <w:i w:val="false"/>
          <w:color w:val="000000"/>
          <w:sz w:val="22"/>
        </w:rPr>
        <w:t>     1.   </w:t>
      </w:r>
      <w:r>
        <w:rPr>
          <w:rFonts w:ascii="Times New Roman" w:hAnsi="Times New Roman"/>
          <w:b w:val="false"/>
          <w:i w:val="false"/>
          <w:color w:val="000000"/>
          <w:sz w:val="22"/>
        </w:rPr>
        <w:t>A solar, wind turbine, waste management, resource recovery, refuse-derived fuel, agricultural crops or residues, or woodburning facility.</w:t>
      </w:r>
    </w:p>
    <w:p>
      <w:pPr>
        <w:spacing w:before="0" w:after="0"/>
        <w:ind w:left="120"/>
        <w:jc w:val="left"/>
      </w:pPr>
      <w:r>
        <w:rPr>
          <w:rFonts w:ascii="Times New Roman" w:hAnsi="Times New Roman"/>
          <w:b w:val="false"/>
          <w:i w:val="false"/>
          <w:color w:val="000000"/>
          <w:sz w:val="22"/>
        </w:rPr>
        <w:t>     2.   </w:t>
      </w:r>
      <w:r>
        <w:rPr>
          <w:rFonts w:ascii="Times New Roman" w:hAnsi="Times New Roman"/>
          <w:b w:val="false"/>
          <w:i w:val="false"/>
          <w:color w:val="000000"/>
          <w:sz w:val="22"/>
        </w:rPr>
        <w:t>Land, systems, buildings, or improvements that are located at the project site and are necessary or convenient to the construction, completion, or operation of the facility.</w:t>
      </w:r>
    </w:p>
    <w:p>
      <w:pPr>
        <w:spacing w:before="0" w:after="0"/>
        <w:ind w:left="120"/>
        <w:jc w:val="left"/>
      </w:pPr>
      <w:r>
        <w:rPr>
          <w:rFonts w:ascii="Times New Roman" w:hAnsi="Times New Roman"/>
          <w:b w:val="false"/>
          <w:i w:val="false"/>
          <w:color w:val="000000"/>
          <w:sz w:val="22"/>
        </w:rPr>
        <w:t>     3.   </w:t>
      </w:r>
      <w:r>
        <w:rPr>
          <w:rFonts w:ascii="Times New Roman" w:hAnsi="Times New Roman"/>
          <w:b w:val="false"/>
          <w:i w:val="false"/>
          <w:color w:val="000000"/>
          <w:sz w:val="22"/>
        </w:rPr>
        <w:t>Transmission or distribution facilities necessary to conduct the energy produced by the facility to users located at or near the project site.</w:t>
      </w:r>
    </w:p>
    <w:p>
      <w:pPr>
        <w:spacing w:before="0" w:after="0"/>
        <w:ind w:left="120"/>
        <w:jc w:val="left"/>
      </w:pPr>
      <w:r>
        <w:rPr>
          <w:rFonts w:ascii="Times New Roman" w:hAnsi="Times New Roman"/>
          <w:b w:val="false"/>
          <w:i w:val="false"/>
          <w:color w:val="000000"/>
          <w:sz w:val="22"/>
        </w:rPr>
        <w:t>A facility which is a qualifying facility under 18 CFR Part 292, Subpart B, is not precluded from being an alternate energy production facility under this chapter.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“Baseload generation” </w:t>
      </w:r>
      <w:r>
        <w:rPr>
          <w:rFonts w:ascii="Times New Roman" w:hAnsi="Times New Roman"/>
          <w:b w:val="false"/>
          <w:i w:val="false"/>
          <w:color w:val="000000"/>
          <w:sz w:val="22"/>
        </w:rPr>
        <w:t>refers to generating units designed for normal operation to serve all or part of the minimum load of the system on an around-the-clock basis. These units are operated to maximize system mechanical and thermal efficiency and minimize system operating costs.</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“Combined-cycle combustion turbine” </w:t>
      </w:r>
      <w:r>
        <w:rPr>
          <w:rFonts w:ascii="Times New Roman" w:hAnsi="Times New Roman"/>
          <w:b w:val="false"/>
          <w:i w:val="false"/>
          <w:color w:val="000000"/>
          <w:sz w:val="22"/>
        </w:rPr>
        <w:t>means an electric generating technology in which the efficiency of electric generation is increased by using otherwise lost waste heat exiting from one or more combustion turbines. The exiting heat is routed to a boiler or to a heat recovery steam generator for utilization by a steam turbine in the production of electricity.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“Control” </w:t>
      </w:r>
      <w:r>
        <w:rPr>
          <w:rFonts w:ascii="Times New Roman" w:hAnsi="Times New Roman"/>
          <w:b w:val="false"/>
          <w:i w:val="false"/>
          <w:color w:val="000000"/>
          <w:sz w:val="22"/>
        </w:rPr>
        <w:t>means the possession, direct or indirect, of the power to direct or cause the direction of the management and policies of an enterprise through ownership, by contract or otherwise.</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“Emission allowance” </w:t>
      </w:r>
      <w:r>
        <w:rPr>
          <w:rFonts w:ascii="Times New Roman" w:hAnsi="Times New Roman"/>
          <w:b w:val="false"/>
          <w:i w:val="false"/>
          <w:color w:val="000000"/>
          <w:sz w:val="22"/>
        </w:rPr>
        <w:t>means an authorization, allocated by the federal Environmental Protection Agency under the Acid Rain Program, to emit up to one ton of sulfur dioxide during or after a specified calendar year.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“Facility” </w:t>
      </w:r>
      <w:r>
        <w:rPr>
          <w:rFonts w:ascii="Times New Roman" w:hAnsi="Times New Roman"/>
          <w:b w:val="false"/>
          <w:i w:val="false"/>
          <w:color w:val="000000"/>
          <w:sz w:val="22"/>
        </w:rPr>
        <w:t xml:space="preserve">means a facility for which advance ratemaking principles may be sought pursuant to Iowa Code section </w:t>
      </w:r>
      <w:hyperlink r:id="rId4">
        <w:r>
          <w:rPr>
            <w:rStyle w:val="Hyperlink"/>
            <w:rFonts w:ascii="Times New Roman" w:hAnsi="Times New Roman"/>
            <w:b w:val="false"/>
            <w:i w:val="false"/>
            <w:color w:val="000000"/>
            <w:sz w:val="22"/>
          </w:rPr>
          <w:t>476.53(3)</w:t>
        </w:r>
      </w:hyperlink>
      <w:r>
        <w:rPr>
          <w:rFonts w:ascii="Times New Roman" w:hAnsi="Times New Roman"/>
          <w:b w:val="false"/>
          <w:i/>
          <w:color w:val="000000"/>
          <w:sz w:val="22"/>
        </w:rPr>
        <w:t>“a.”</w:t>
      </w:r>
      <w:r>
        <w:rPr>
          <w:rFonts w:ascii="Times New Roman" w:hAnsi="Times New Roman"/>
          <w:b w:val="false"/>
          <w:i w:val="false"/>
          <w:color w:val="000000"/>
          <w:sz w:val="22"/>
        </w:rPr>
        <w:t xml:space="preserve"> The term includes energy storage systems located at the site of an alternate energy production facility.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“kWh” </w:t>
      </w:r>
      <w:r>
        <w:rPr>
          <w:rFonts w:ascii="Times New Roman" w:hAnsi="Times New Roman"/>
          <w:b w:val="false"/>
          <w:i w:val="false"/>
          <w:color w:val="000000"/>
          <w:sz w:val="22"/>
        </w:rPr>
        <w:t>means kilowatt-hour.</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“Opportunity sales” </w:t>
      </w:r>
      <w:r>
        <w:rPr>
          <w:rFonts w:ascii="Times New Roman" w:hAnsi="Times New Roman"/>
          <w:b w:val="false"/>
          <w:i w:val="false"/>
          <w:color w:val="000000"/>
          <w:sz w:val="22"/>
        </w:rPr>
        <w:t>means sales of electricity from a particular facility at market price after all contracted and firm transactions have been met.</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“Repowering” </w:t>
      </w:r>
      <w:r>
        <w:rPr>
          <w:rFonts w:ascii="Times New Roman" w:hAnsi="Times New Roman"/>
          <w:b w:val="false"/>
          <w:i w:val="false"/>
          <w:color w:val="000000"/>
          <w:sz w:val="22"/>
        </w:rPr>
        <w:t>means either the complete dismantling and replacement of generation equipment at an existing project site or the installation of new parts and equipment to an existing alternate energy production facility in order to increase energy production, reduce load, increase service capacity, improve project reliability, or extend the useful life of the facility.</w:t>
      </w:r>
    </w:p>
    <w:p>
      <w:pPr>
        <w:spacing w:before="0" w:after="0"/>
        <w:ind w:left="120"/>
        <w:jc w:val="left"/>
      </w:pPr>
      <w:r>
        <w:rPr>
          <w:rFonts w:ascii="Times New Roman" w:hAnsi="Times New Roman"/>
          <w:b w:val="false"/>
          <w:i w:val="false"/>
          <w:color w:val="000000"/>
          <w:sz w:val="22"/>
        </w:rPr>
        <w:t>    </w:t>
      </w:r>
      <w:r>
        <w:rPr>
          <w:rFonts w:ascii="Times New Roman" w:hAnsi="Times New Roman"/>
          <w:b w:val="false"/>
          <w:i/>
          <w:color w:val="000000"/>
          <w:sz w:val="22"/>
        </w:rPr>
        <w:t xml:space="preserve">“Utility” </w:t>
      </w:r>
      <w:r>
        <w:rPr>
          <w:rFonts w:ascii="Times New Roman" w:hAnsi="Times New Roman"/>
          <w:b w:val="false"/>
          <w:i w:val="false"/>
          <w:color w:val="000000"/>
          <w:sz w:val="22"/>
        </w:rPr>
        <w:t>means either a rate-regulated electric public utility selling to retail customers in Iowa or a rate-regulated public utility acquiring a water, sanitary sewage, or storm water utility.</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5206C</w:t>
      </w:r>
      <w:r>
        <w:rPr>
          <w:rFonts w:ascii="Times New Roman" w:hAnsi="Times New Roman"/>
          <w:b w:val="false"/>
          <w:i w:val="false"/>
          <w:color w:val="000000"/>
          <w:sz w:val="16"/>
        </w:rPr>
        <w:t>, IAB 10/7/20, effective 11/11/20</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53.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