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199—39.5</w:t>
      </w:r>
      <w:r>
        <w:rPr>
          <w:rFonts w:ascii="Times New Roman" w:hAnsi="Times New Roman"/>
          <w:b/>
          <w:i w:val="false"/>
          <w:color w:val="000000"/>
          <w:sz w:val="22"/>
        </w:rPr>
        <w:t xml:space="preserve">(476) </w:t>
      </w:r>
      <w:r>
        <w:rPr>
          <w:rFonts w:ascii="Times New Roman" w:hAnsi="Times New Roman"/>
          <w:b/>
          <w:i w:val="false"/>
          <w:color w:val="000000"/>
          <w:sz w:val="22"/>
        </w:rPr>
        <w:t xml:space="preserve">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by the commission, the approved service area for universal service fund support calculations will be the same as the service area currently approved for local service by the commission. Those carriers not currently approved to provide local service are required to provide documentation showing their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w:t>
      </w:r>
      <w:r>
        <w:rPr>
          <w:rFonts w:ascii="Times New Roman" w:hAnsi="Times New Roman"/>
          <w:b w:val="false"/>
          <w:i w:val="false"/>
          <w:color w:val="000000"/>
          <w:sz w:val="22"/>
        </w:rPr>
        <w:t> </w:t>
      </w:r>
      <w:r>
        <w:rPr>
          <w:rFonts w:ascii="Times New Roman" w:hAnsi="Times New Roman"/>
          <w:b w:val="false"/>
          <w:i w:val="false"/>
          <w:color w:val="000000"/>
          <w:sz w:val="22"/>
        </w:rPr>
        <w:t>In the case of a service area served by a rural telephone company, “service area” means such company’s “study area” unless and until the FCC and the states, after taking into account recommendations of a federal-state joint commission instituted under Section 410(c) of the Telecommunications Act of 1996, establish a different definition of service area for such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39.5(3)</w:t>
      </w:r>
      <w:r>
        <w:rPr>
          <w:rFonts w:ascii="Times New Roman" w:hAnsi="Times New Roman"/>
          <w:b w:val="false"/>
          <w:i w:val="false"/>
          <w:color w:val="000000"/>
          <w:sz w:val="22"/>
        </w:rPr>
        <w:t> </w:t>
      </w:r>
      <w:r>
        <w:rPr>
          <w:rFonts w:ascii="Times New Roman" w:hAnsi="Times New Roman"/>
          <w:b w:val="false"/>
          <w:i w:val="false"/>
          <w:color w:val="000000"/>
          <w:sz w:val="22"/>
        </w:rPr>
        <w:t>In the case of a wireless telecommunications carrier, “service area” means that area where the wireless company has been licensed by the FCC to provide service.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