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199—39.4</w:t>
      </w:r>
      <w:r>
        <w:rPr>
          <w:rFonts w:ascii="Times New Roman" w:hAnsi="Times New Roman"/>
          <w:b/>
          <w:i w:val="false"/>
          <w:color w:val="000000"/>
          <w:sz w:val="22"/>
        </w:rPr>
        <w:t xml:space="preserve">(476) </w:t>
      </w:r>
      <w:r>
        <w:rPr>
          <w:rFonts w:ascii="Times New Roman" w:hAnsi="Times New Roman"/>
          <w:b/>
          <w:i w:val="false"/>
          <w:color w:val="000000"/>
          <w:sz w:val="22"/>
        </w:rPr>
        <w:t xml:space="preserve">Lifeline-only applicants. </w:t>
      </w:r>
      <w:r>
        <w:rPr>
          <w:rFonts w:ascii="Times New Roman" w:hAnsi="Times New Roman"/>
          <w:b w:val="false"/>
          <w:i w:val="false"/>
          <w:color w:val="000000"/>
          <w:sz w:val="22"/>
        </w:rPr>
        <w:t xml:space="preserve">Where an applicant is seeking designation only for purposes of receiving support from the Lifeline program, the following requirements apply in addition to those specified in </w:t>
      </w:r>
      <w:hyperlink r:id="rId4">
        <w:r>
          <w:rPr>
            <w:rStyle w:val="Hyperlink"/>
            <w:rFonts w:ascii="Times New Roman" w:hAnsi="Times New Roman"/>
            <w:b w:val="false"/>
            <w:i w:val="false"/>
            <w:color w:val="000000"/>
            <w:sz w:val="22"/>
          </w:rPr>
          <w:t>199—39.3</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w:t>
      </w:r>
      <w:r>
        <w:rPr>
          <w:rFonts w:ascii="Times New Roman" w:hAnsi="Times New Roman"/>
          <w:b w:val="false"/>
          <w:i w:val="false"/>
          <w:color w:val="000000"/>
          <w:sz w:val="22"/>
        </w:rPr>
        <w:t> </w:t>
      </w:r>
      <w:r>
        <w:rPr>
          <w:rFonts w:ascii="Times New Roman" w:hAnsi="Times New Roman"/>
          <w:b w:val="false"/>
          <w:i/>
          <w:color w:val="000000"/>
          <w:sz w:val="22"/>
        </w:rPr>
        <w:t xml:space="preserve">Approved compliance plan required. </w:t>
      </w:r>
      <w:r>
        <w:rPr>
          <w:rFonts w:ascii="Times New Roman" w:hAnsi="Times New Roman"/>
          <w:b w:val="false"/>
          <w:i w:val="false"/>
          <w:color w:val="000000"/>
          <w:sz w:val="22"/>
        </w:rPr>
        <w:t>The applicant shall submit a copy of a compliance plan submitted to the Federal Communications Commission and a copy of the Commission’s notice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of voice telephony service offered to Lifeline subscribers. </w:t>
      </w:r>
      <w:r>
        <w:rPr>
          <w:rFonts w:ascii="Times New Roman" w:hAnsi="Times New Roman"/>
          <w:b w:val="false"/>
          <w:i w:val="false"/>
          <w:color w:val="000000"/>
          <w:sz w:val="22"/>
        </w:rPr>
        <w:t>The applicant shall submit information describing the terms and conditions of any voice telephony service plans offered to Lifeline subscribers, including details on the number of minutes provided as part of the plan, additional charges, if any, for toll calls, and rates for such plan. To the extent the applicant offers to Lifeline subscribers plans that are generally available to the public, the applicant may provide summary information regarding such plans, such as a link to a public website outlining the terms and conditions of such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financial and technical capability to provide supported services. </w:t>
      </w:r>
      <w:r>
        <w:rPr>
          <w:rFonts w:ascii="Times New Roman" w:hAnsi="Times New Roman"/>
          <w:b w:val="false"/>
          <w:i w:val="false"/>
          <w:color w:val="000000"/>
          <w:sz w:val="22"/>
        </w:rPr>
        <w:t>The applicant shall demonstrate that it is financially and technically capable of providing the supported Lifeline service in compliance with 47 CFR Subchapter B, Part 54, Subpart E, as required by 47 CFR § 54.201(h). Relevant considerations include, but are not limited to, how long the carrier has been in business, whether the applicant intends to rely exclusively on universal service fund disbursements to operate, whether the applicant receives or will receive revenue from other sources, and whether the applicant has been subject to enforcement action or ETC revocation proceedings in any state.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1899C</w:t>
      </w:r>
      <w:r>
        <w:rPr>
          <w:rFonts w:ascii="Times New Roman" w:hAnsi="Times New Roman"/>
          <w:b w:val="false"/>
          <w:i w:val="false"/>
          <w:color w:val="000000"/>
          <w:sz w:val="16"/>
        </w:rPr>
        <w:t>, IAB 3/4/15, effective 4/8/15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39.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