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199—38.6</w:t>
      </w:r>
      <w:r>
        <w:rPr>
          <w:rFonts w:ascii="Times New Roman" w:hAnsi="Times New Roman"/>
          <w:b/>
          <w:i w:val="false"/>
          <w:color w:val="000000"/>
          <w:sz w:val="22"/>
        </w:rPr>
        <w:t xml:space="preserve">(476) </w:t>
      </w:r>
      <w:r>
        <w:rPr>
          <w:rFonts w:ascii="Times New Roman" w:hAnsi="Times New Roman"/>
          <w:b/>
          <w:i w:val="false"/>
          <w:color w:val="000000"/>
          <w:sz w:val="22"/>
        </w:rPr>
        <w:t xml:space="preserve">Terminating access charge complaints. </w:t>
      </w:r>
      <w:r>
        <w:rPr>
          <w:rFonts w:ascii="Times New Roman" w:hAnsi="Times New Roman"/>
          <w:b w:val="false"/>
          <w:i w:val="false"/>
          <w:color w:val="000000"/>
          <w:sz w:val="22"/>
        </w:rPr>
        <w:t>No local utility shall deliver traffic to another local utility as local service or extended area service terminating traffic if the terminating traffic is long distance or some other type of traffic for which terminating switched access charges would otherwise have been payable. Any local utility may bring a complaint to the commission if another local utility has violated this requirement or taken insufficient measures to determine whether switched access charges would otherwise have been payable. The commission may order payment or refund of compensation withheld from or received by a local utility in violation of this rule, with appropriate interest or tariffed late payment penalties.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