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199—38.5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Cost standards.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Incremental cost standard.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general, each local exchange carrier shall price each of its services above the total service long-run incremental cost of providing each service.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38.5(2)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Competitive local exchange service providers.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Cost support will generally not be required for the tariff filings from competitive local exchange service providers.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4120C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11/7/18, effective 12/12/18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