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199—38.4</w:t>
      </w:r>
      <w:r>
        <w:rPr>
          <w:rFonts w:ascii="Times New Roman" w:hAnsi="Times New Roman"/>
          <w:b/>
          <w:i w:val="false"/>
          <w:color w:val="000000"/>
          <w:sz w:val="22"/>
        </w:rPr>
        <w:t xml:space="preserve">(476) </w:t>
      </w:r>
      <w:r>
        <w:rPr>
          <w:rFonts w:ascii="Times New Roman" w:hAnsi="Times New Roman"/>
          <w:b/>
          <w:i w:val="false"/>
          <w:color w:val="000000"/>
          <w:sz w:val="22"/>
        </w:rPr>
        <w:t xml:space="preserve">Unbundled facilities, services, features, functions, and capabilities.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color w:val="000000"/>
          <w:sz w:val="22"/>
        </w:rPr>
        <w:t xml:space="preserve"> Tariff filings.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schedule. </w:t>
      </w:r>
      <w:r>
        <w:rPr>
          <w:rFonts w:ascii="Times New Roman" w:hAnsi="Times New Roman"/>
          <w:b w:val="false"/>
          <w:i w:val="false"/>
          <w:color w:val="000000"/>
          <w:sz w:val="22"/>
        </w:rPr>
        <w:t xml:space="preserve">Each local exchange carrier shall file tariffs implementing unbundling for the facilities enumerated in paragraph </w:t>
      </w:r>
      <w:hyperlink r:id="rId4">
        <w:r>
          <w:rPr>
            <w:rStyle w:val="Hyperlink"/>
            <w:rFonts w:ascii="Times New Roman" w:hAnsi="Times New Roman"/>
            <w:b w:val="false"/>
            <w:i w:val="false"/>
            <w:color w:val="000000"/>
            <w:sz w:val="22"/>
          </w:rPr>
          <w:t>38.4(1)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obligation to file a tariff shall not apply to a rural telephone company until the conditions specified in </w:t>
      </w:r>
      <w:r>
        <w:rPr>
          <w:rFonts w:ascii="Times New Roman" w:hAnsi="Times New Roman"/>
          <w:b w:val="false"/>
          <w:i w:val="false"/>
          <w:color w:val="000000"/>
          <w:sz w:val="22"/>
        </w:rPr>
        <w:t>47 U.S.C. Section 251(f)(1)</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List of unbundled essential facilities. </w:t>
      </w:r>
      <w:r>
        <w:rPr>
          <w:rFonts w:ascii="Times New Roman" w:hAnsi="Times New Roman"/>
          <w:b w:val="false"/>
          <w:i w:val="false"/>
          <w:color w:val="000000"/>
          <w:sz w:val="22"/>
        </w:rPr>
        <w:t>Each local exchange carrier’s tariff filing shall, at a minimum, unbundle the following essential facilities, services, features, functions, and capabilities: loops, ports, signaling links, signal transfer points, facilities to interconnect unbundled links at the central office, interoffice transmission facilities, listings in the directory assistance database, inbound operator services including busy-line verification and call interrupt, interconnection to the 911 system, and interconnection to the tandem switch for routing to other carriers.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color w:val="000000"/>
          <w:sz w:val="22"/>
        </w:rPr>
        <w:t xml:space="preserve"> Requests for unbundled facilities. </w:t>
      </w:r>
      <w:r>
        <w:rPr>
          <w:rFonts w:ascii="Times New Roman" w:hAnsi="Times New Roman"/>
          <w:b w:val="false"/>
          <w:i w:val="false"/>
          <w:color w:val="000000"/>
          <w:sz w:val="22"/>
        </w:rPr>
        <w:t xml:space="preserve">Except as allowed in subrule </w:t>
      </w:r>
      <w:hyperlink r:id="rId5">
        <w:r>
          <w:rPr>
            <w:rStyle w:val="Hyperlink"/>
            <w:rFonts w:ascii="Times New Roman" w:hAnsi="Times New Roman"/>
            <w:b w:val="false"/>
            <w:i w:val="false"/>
            <w:color w:val="000000"/>
            <w:sz w:val="22"/>
          </w:rPr>
          <w:t>38.4(3)</w:t>
        </w:r>
      </w:hyperlink>
      <w:r>
        <w:rPr>
          <w:rFonts w:ascii="Times New Roman" w:hAnsi="Times New Roman"/>
          <w:b w:val="false"/>
          <w:i w:val="false"/>
          <w:color w:val="000000"/>
          <w:sz w:val="22"/>
        </w:rPr>
        <w:t>, requests to unbundle facilities, services, features, functions, and capabilities shall be processed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competitive local exchange service provider may make a bona fide request of a local exchange carrier to make additional unbundled essential facilities available. After receiving a request for additional unbundled essential facilities, the local exchange carrier shall respond within 30 days of the request either by agreeing to the request or by denying the request. If the local exchange carrier agrees to fulfill the request, the carrier shall file a tariff unbundling the essential facility within 60 days of the initial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local exchange carrier denies the request, a competitive local exchange service provider may petition the commission to classify the requested facility as essential, as defined by Iowa Code section </w:t>
      </w:r>
      <w:hyperlink r:id="rId6">
        <w:r>
          <w:rPr>
            <w:rStyle w:val="Hyperlink"/>
            <w:rFonts w:ascii="Times New Roman" w:hAnsi="Times New Roman"/>
            <w:b w:val="false"/>
            <w:i w:val="false"/>
            <w:color w:val="000000"/>
            <w:sz w:val="22"/>
          </w:rPr>
          <w:t>476.100(2)</w:t>
        </w:r>
      </w:hyperlink>
      <w:r>
        <w:rPr>
          <w:rFonts w:ascii="Times New Roman" w:hAnsi="Times New Roman"/>
          <w:b w:val="false"/>
          <w:i w:val="false"/>
          <w:color w:val="000000"/>
          <w:sz w:val="22"/>
        </w:rPr>
        <w:t xml:space="preserve">, and to require the local exchange carrier to make the requested facility available on an unbundled basis by filing a tariff. In such a petition, the competitive local exchange service provider shall provide information to the commission showing how the requested facility meets the definition of essential facility found in Iowa Code section </w:t>
      </w:r>
      <w:hyperlink r:id="rId7">
        <w:r>
          <w:rPr>
            <w:rStyle w:val="Hyperlink"/>
            <w:rFonts w:ascii="Times New Roman" w:hAnsi="Times New Roman"/>
            <w:b w:val="false"/>
            <w:i w:val="false"/>
            <w:color w:val="000000"/>
            <w:sz w:val="22"/>
          </w:rPr>
          <w:t>476.100(2)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petitioning party under this subrule may state a preference for proceeding by rule making or contested case, but the commission will select the process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38.4(3)</w:t>
      </w:r>
      <w:r>
        <w:rPr>
          <w:rFonts w:ascii="Times New Roman" w:hAnsi="Times New Roman"/>
          <w:b w:val="false"/>
          <w:i w:val="false"/>
          <w:color w:val="000000"/>
          <w:sz w:val="22"/>
        </w:rPr>
        <w:t> </w:t>
      </w:r>
      <w:r>
        <w:rPr>
          <w:rFonts w:ascii="Times New Roman" w:hAnsi="Times New Roman"/>
          <w:b w:val="false"/>
          <w:i/>
          <w:color w:val="000000"/>
          <w:sz w:val="22"/>
        </w:rPr>
        <w:t xml:space="preserve">Alternative procedures. </w:t>
      </w:r>
      <w:r>
        <w:rPr>
          <w:rFonts w:ascii="Times New Roman" w:hAnsi="Times New Roman"/>
          <w:b w:val="false"/>
          <w:i w:val="false"/>
          <w:color w:val="000000"/>
          <w:sz w:val="22"/>
        </w:rPr>
        <w:t xml:space="preserve">As an alternative to the procedures in subrule </w:t>
      </w:r>
      <w:hyperlink r:id="rId8">
        <w:r>
          <w:rPr>
            <w:rStyle w:val="Hyperlink"/>
            <w:rFonts w:ascii="Times New Roman" w:hAnsi="Times New Roman"/>
            <w:b w:val="false"/>
            <w:i w:val="false"/>
            <w:color w:val="000000"/>
            <w:sz w:val="22"/>
          </w:rPr>
          <w:t>38.4(2)</w:t>
        </w:r>
      </w:hyperlink>
      <w:r>
        <w:rPr>
          <w:rFonts w:ascii="Times New Roman" w:hAnsi="Times New Roman"/>
          <w:b w:val="false"/>
          <w:i w:val="false"/>
          <w:color w:val="000000"/>
          <w:sz w:val="22"/>
        </w:rPr>
        <w:t xml:space="preserve">, a competitive local exchange service provider may elect the negotiation, mediation, and arbitration procedures available under </w:t>
      </w:r>
      <w:r>
        <w:rPr>
          <w:rFonts w:ascii="Times New Roman" w:hAnsi="Times New Roman"/>
          <w:b w:val="false"/>
          <w:i w:val="false"/>
          <w:color w:val="000000"/>
          <w:sz w:val="22"/>
        </w:rPr>
        <w:t>47 U.S.C.</w:t>
      </w:r>
      <w:r>
        <w:rPr>
          <w:rFonts w:ascii="Times New Roman" w:hAnsi="Times New Roman"/>
          <w:b w:val="false"/>
          <w:i w:val="false"/>
          <w:color w:val="000000"/>
          <w:sz w:val="22"/>
        </w:rPr>
        <w:t xml:space="preserve"> Section 252, by notifying the local exchange carrier and the commission in writing at the time additional unbundled facilities are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38.4(4)</w:t>
      </w:r>
      <w:r>
        <w:rPr>
          <w:rFonts w:ascii="Times New Roman" w:hAnsi="Times New Roman"/>
          <w:b w:val="false"/>
          <w:i w:val="false"/>
          <w:color w:val="000000"/>
          <w:sz w:val="22"/>
        </w:rPr>
        <w:t> </w:t>
      </w:r>
      <w:r>
        <w:rPr>
          <w:rFonts w:ascii="Times New Roman" w:hAnsi="Times New Roman"/>
          <w:b w:val="false"/>
          <w:i/>
          <w:color w:val="000000"/>
          <w:sz w:val="22"/>
        </w:rPr>
        <w:t xml:space="preserve">Reclassifying essential facilities. </w:t>
      </w:r>
      <w:r>
        <w:rPr>
          <w:rFonts w:ascii="Times New Roman" w:hAnsi="Times New Roman"/>
          <w:b w:val="false"/>
          <w:i w:val="false"/>
          <w:color w:val="000000"/>
          <w:sz w:val="22"/>
        </w:rPr>
        <w:t xml:space="preserve">A local exchange carrier may, at any time, petition the commission with a request that a facility classified as essential, either by the terms of subrule </w:t>
      </w:r>
      <w:hyperlink r:id="rId9">
        <w:r>
          <w:rPr>
            <w:rStyle w:val="Hyperlink"/>
            <w:rFonts w:ascii="Times New Roman" w:hAnsi="Times New Roman"/>
            <w:b w:val="false"/>
            <w:i w:val="false"/>
            <w:color w:val="000000"/>
            <w:sz w:val="22"/>
          </w:rPr>
          <w:t>38.4(1)</w:t>
        </w:r>
      </w:hyperlink>
      <w:r>
        <w:rPr>
          <w:rFonts w:ascii="Times New Roman" w:hAnsi="Times New Roman"/>
          <w:b w:val="false"/>
          <w:i w:val="false"/>
          <w:color w:val="000000"/>
          <w:sz w:val="22"/>
        </w:rPr>
        <w:t xml:space="preserve"> or pursuant to a subsequent request of a competitive local exchange service provider, be removed from that classification and no longer be required to be provided on an unbundled basis. With its petition, the local exchange carrier shall provide information to the commission showing why the facility no longer meets the definition of essential found in Iowa Code section </w:t>
      </w:r>
      <w:hyperlink r:id="rId10">
        <w:r>
          <w:rPr>
            <w:rStyle w:val="Hyperlink"/>
            <w:rFonts w:ascii="Times New Roman" w:hAnsi="Times New Roman"/>
            <w:b w:val="false"/>
            <w:i w:val="false"/>
            <w:color w:val="000000"/>
            <w:sz w:val="22"/>
          </w:rPr>
          <w:t>476.100(2)</w:t>
        </w:r>
      </w:hyperlink>
      <w:r>
        <w:rPr>
          <w:rFonts w:ascii="Times New Roman" w:hAnsi="Times New Roman"/>
          <w:b w:val="false"/>
          <w:i w:val="false"/>
          <w:color w:val="000000"/>
          <w:sz w:val="22"/>
        </w:rPr>
        <w:t>. The commission will determine the procedure to be used in reviewing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38.4(5)</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to essential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Nondiscriminatory access. </w:t>
      </w:r>
      <w:r>
        <w:rPr>
          <w:rFonts w:ascii="Times New Roman" w:hAnsi="Times New Roman"/>
          <w:b w:val="false"/>
          <w:i w:val="false"/>
          <w:color w:val="000000"/>
          <w:sz w:val="22"/>
        </w:rPr>
        <w:t>All competitive local exchange service providers shall have access to a local exchange carrier’s unbundled facilities on the same nondiscriminatory terms and conditions. Such terms and conditions shall be specified in the local exchange carrier’s tariff for unbundled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 equal access. </w:t>
      </w:r>
      <w:r>
        <w:rPr>
          <w:rFonts w:ascii="Times New Roman" w:hAnsi="Times New Roman"/>
          <w:b w:val="false"/>
          <w:i w:val="false"/>
          <w:color w:val="000000"/>
          <w:sz w:val="22"/>
        </w:rPr>
        <w:t>The terms and conditions under which competitive local exchange service providers shall be able to interconnect with a local exchange carrier’s unbundled facilities shall be technically and economically equivalent to those under which the local exchange carrier provides those facilities to itself or its affiliates. If it believes such terms and conditions are not technically or economically feasible, the local exchange carrier may petition the commission for a waiver of this provision.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38.4.pdf" Type="http://schemas.openxmlformats.org/officeDocument/2006/relationships/hyperlink" Id="rId4"/>
    <Relationship TargetMode="External" Target="https://www.legis.iowa.gov/docs/iac/rule/199.38.4.pdf" Type="http://schemas.openxmlformats.org/officeDocument/2006/relationships/hyperlink" Id="rId5"/>
    <Relationship TargetMode="External" Target="https://www.legis.iowa.gov/docs/ico/chapter/476.100.pdf" Type="http://schemas.openxmlformats.org/officeDocument/2006/relationships/hyperlink" Id="rId6"/>
    <Relationship TargetMode="External" Target="https://www.legis.iowa.gov/docs/ico/chapter/476.100.pdf" Type="http://schemas.openxmlformats.org/officeDocument/2006/relationships/hyperlink" Id="rId7"/>
    <Relationship TargetMode="External" Target="https://www.legis.iowa.gov/docs/iac/rule/199.38.4.pdf" Type="http://schemas.openxmlformats.org/officeDocument/2006/relationships/hyperlink" Id="rId8"/>
    <Relationship TargetMode="External" Target="https://www.legis.iowa.gov/docs/iac/rule/199.38.4.pdf" Type="http://schemas.openxmlformats.org/officeDocument/2006/relationships/hyperlink" Id="rId9"/>
    <Relationship TargetMode="External" Target="https://www.legis.iowa.gov/docs/ico/chapter/476.100.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