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199—38.3</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requirements. </w:t>
      </w:r>
      <w:r>
        <w:rPr>
          <w:rFonts w:ascii="Times New Roman" w:hAnsi="Times New Roman"/>
          <w:b w:val="false"/>
          <w:i w:val="false"/>
          <w:color w:val="000000"/>
          <w:sz w:val="22"/>
        </w:rPr>
        <w:t>A local utility that originates local telecommunications traffic and desires to terminate that traffic on the network of another local utility may choose the point(s) of interconnection between the two networks for the exchange of that originating local telecommunications traffic at any technically feasible point within the terminating carrier’s network. Interconnection must be equal in quality to that provided by the local utility to itself, any affiliate, or any other party to which the local utility provides interconnection. Interconnection must be on rates, terms, and conditions that are just, reasonable, and nondiscriminatory.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