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199—37.5</w:t>
      </w:r>
      <w:r>
        <w:rPr>
          <w:rFonts w:ascii="Times New Roman" w:hAnsi="Times New Roman"/>
          <w:b/>
          <w:i w:val="false"/>
          <w:color w:val="000000"/>
          <w:sz w:val="22"/>
        </w:rPr>
        <w:t xml:space="preserve">(477C) </w:t>
      </w:r>
      <w:r>
        <w:rPr>
          <w:rFonts w:ascii="Times New Roman" w:hAnsi="Times New Roman"/>
          <w:b/>
          <w:i w:val="false"/>
          <w:color w:val="000000"/>
          <w:sz w:val="22"/>
        </w:rPr>
        <w:t xml:space="preserve">Voucher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color w:val="000000"/>
          <w:sz w:val="22"/>
        </w:rPr>
        <w:t xml:space="preserve">Amount. </w:t>
      </w:r>
      <w:r>
        <w:rPr>
          <w:rFonts w:ascii="Times New Roman" w:hAnsi="Times New Roman"/>
          <w:b w:val="false"/>
          <w:i w:val="false"/>
          <w:color w:val="000000"/>
          <w:sz w:val="22"/>
        </w:rPr>
        <w:t>The voucher will state a standard amount for a particular piece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amount shall be determined and updated periodically by the program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standard amount shall be 95 percent of the average retail market price for the piece of equipment, unless the retail market price is more than $1,000, in which case the standard amount shall be 99 percent of the average retail market price. The standard amount may be increased to 100 percent if a person demonstrates to the program administrator that the person is unable to pay the matching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color w:val="000000"/>
          <w:sz w:val="22"/>
        </w:rPr>
        <w:t xml:space="preserve">Voucher use. </w:t>
      </w:r>
      <w:r>
        <w:rPr>
          <w:rFonts w:ascii="Times New Roman" w:hAnsi="Times New Roman"/>
          <w:b w:val="false"/>
          <w:i w:val="false"/>
          <w:color w:val="000000"/>
          <w:sz w:val="22"/>
        </w:rPr>
        <w:t>The recipient of a voucher may purchase equipment from any vendor that will accept the voucher and may apply the voucher amount toward purchase of the brand and model of indicated equipment as the recipient chooses. An invoice for equipment purchased prior to the issuance of a voucher shall 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The voucher shall provide for a 40-day period for the voucher recipient to present the voucher to the vendor. The vendor, upon presentation of the voucher, shall have 60 days to complete the sale and delivery of the equipment and to return the voucher to the program administrator. The program administrator shall have 20 days to process and return the voucher to the commission for payment. The program administrator, for good cause shown, may extend either the 40- or 60-day deadline, provided the voucher is returned to the commission for payment within 120 days from the issuance of the voucher. The program administrator may authorize reimbursement for a voucher issued more than 120 days before the voucher is sent to the commission for payment if the program administrator determines good cause exists for extending the 120-day deadline and provides supporting documentation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37.5(4)</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voucher is not a negotiable instrument. Upon presentation of documentation by the vendor as required by the commission, including but not limited to an invoice showing an amount due no greater than the voucher amount, the vendor will be issued a state warrant for the amount due.</w:t>
      </w:r>
    </w:p>
    <w:p>
      <w:pPr>
        <w:spacing w:before="0" w:after="0" w:line="240"/>
        <w:ind w:left="120"/>
        <w:jc w:val="left"/>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