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199—25.5</w:t>
      </w:r>
      <w:r>
        <w:rPr>
          <w:rFonts w:ascii="Times New Roman" w:hAnsi="Times New Roman"/>
          <w:b/>
          <w:i w:val="false"/>
          <w:color w:val="000000"/>
          <w:sz w:val="22"/>
        </w:rPr>
        <w:t xml:space="preserve">(476,478) </w:t>
      </w:r>
      <w:r>
        <w:rPr>
          <w:rFonts w:ascii="Times New Roman" w:hAnsi="Times New Roman"/>
          <w:b/>
          <w:i w:val="false"/>
          <w:color w:val="000000"/>
          <w:sz w:val="22"/>
        </w:rPr>
        <w:t xml:space="preserve">Accident reports. </w:t>
      </w:r>
      <w:r>
        <w:rPr>
          <w:rFonts w:ascii="Times New Roman" w:hAnsi="Times New Roman"/>
          <w:b w:val="false"/>
          <w:i w:val="false"/>
          <w:color w:val="000000"/>
          <w:sz w:val="22"/>
        </w:rPr>
        <w:t>This rule applies to all owners or operators of electrical facilities subject to the safety jurisdiction of the commission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electrical facilities subject to the safety jurisdiction of the commission shall provide the commission with a 24-hour contact number where the commission can obtain immediate access to a person knowledgeable about any incidents involving contact with energized electrical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electrical facilities subject to the safety jurisdiction of the commission shall notify the commission of any incident or accident involving contact with energized electrical facilities that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or other person coming in contact with energized electrical facilities which results in death or personal injury necessitating in-patient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Estimated property damage of $15,000 or more to the property of the utility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incident considered significant by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be notified immediately, or as soon as practical thereafter, by email to the commission duty officer at </w:t>
      </w:r>
      <w:hyperlink r:id="rId4">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if email service is not available, by calling (515)745-2332. The person contacting the commission shall leave a telephone number of a person who can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company, the name and telephone number of the person making the report, and the name and telephone number of a contact person knowledgeable about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deaths or personal injuries requiring in-patient hospitalization and the extent of those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Initial estimate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of the significant information available regarding the probable cause of the incident and extent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oral or written report made to a federal agency, the agency receiving the report, and the name and telephone number of the person who made or prepared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incident reports. Within 30 days of the date of the incident, the owner or operator shall file a written report with the commission. The report shall include the information required for notice in subrule </w:t>
      </w:r>
      <w:hyperlink r:id="rId5">
        <w:r>
          <w:rPr>
            <w:rStyle w:val="Hyperlink"/>
            <w:rFonts w:ascii="Times New Roman" w:hAnsi="Times New Roman"/>
            <w:b w:val="false"/>
            <w:i w:val="false"/>
            <w:color w:val="000000"/>
            <w:sz w:val="22"/>
          </w:rPr>
          <w:t>25.5(3)</w:t>
        </w:r>
      </w:hyperlink>
      <w:r>
        <w:rPr>
          <w:rFonts w:ascii="Times New Roman" w:hAnsi="Times New Roman"/>
          <w:b w:val="false"/>
          <w:i w:val="false"/>
          <w:color w:val="000000"/>
          <w:sz w:val="22"/>
        </w:rPr>
        <w:t>, the probable cause as determined by the company, the number and cause of any deaths or personal injuries requiring in-patient hospitalization, and a detailed description of property damage and the amount of monetary damages. If significant additional information becomes available at a later date, a supplemental report shall be filed. Duplicate copies of any written reports filed with or submitted to a federal agency concerning the incident shall also be provided to the commission.</w:t>
      </w:r>
    </w:p>
    <w:p>
      <w:pPr>
        <w:spacing w:before="0" w:after="0" w:line="240"/>
        <w:ind w:left="120"/>
        <w:jc w:val="left"/>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1623C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i w:val="false"/>
          <w:color w:val="000000"/>
          <w:sz w:val="16"/>
        </w:rPr>
        <w:t>ARC 3010C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dutyofficer@iuc.iowa.gov" Type="http://schemas.openxmlformats.org/officeDocument/2006/relationships/hyperlink" Id="rId4"/>
    <Relationship TargetMode="External" Target="https://www.legis.iowa.gov/docs/iac/rule/199.25.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