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199—25.4</w:t>
      </w:r>
      <w:r>
        <w:rPr>
          <w:rFonts w:ascii="Times New Roman" w:hAnsi="Times New Roman"/>
          <w:b/>
          <w:i w:val="false"/>
          <w:color w:val="000000"/>
          <w:sz w:val="22"/>
        </w:rPr>
        <w:t xml:space="preserve">(476,478) </w:t>
      </w:r>
      <w:r>
        <w:rPr>
          <w:rFonts w:ascii="Times New Roman" w:hAnsi="Times New Roman"/>
          <w:b/>
          <w:i w:val="false"/>
          <w:color w:val="000000"/>
          <w:sz w:val="22"/>
        </w:rPr>
        <w:t xml:space="preserve">Correction of problems found during inspections and pole attachment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shall be taken within a reasonable period of time on all potentially hazardous conditions, instances of safety code noncompliance, maintenance needs, potential threats to safety and reliability, or other concerns identified during inspections. Hazardous conditions shall be corrected promptly. In addition to the general requirements stated in this subrule, pole attachments shall comply with the specific requirements and procedures established in subrule </w:t>
      </w:r>
      <w:hyperlink r:id="rId4">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To ensure the safety of pole attachments to poles owned by utilities in Iowa, this subrule establishes requirements for attaching electric lines, communications lines, cable systems, video service lines, data lines, wireless antennae and other wireless facilities, or similar lines and facilities that are attached to the excess space on poles owned by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w:t>
      </w:r>
      <w:r>
        <w:rPr>
          <w:rFonts w:ascii="Times New Roman" w:hAnsi="Times New Roman"/>
          <w:b w:val="false"/>
          <w:i w:val="false"/>
          <w:color w:val="000000"/>
          <w:sz w:val="22"/>
        </w:rPr>
        <w:t>means any pole owned by a utility that carries electric lines, communications lines, cable systems, video service lines, data service lines, wireless antennae or other wireless facilities, or similar lines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attachment” </w:t>
      </w:r>
      <w:r>
        <w:rPr>
          <w:rFonts w:ascii="Times New Roman" w:hAnsi="Times New Roman"/>
          <w:b w:val="false"/>
          <w:i w:val="false"/>
          <w:color w:val="000000"/>
          <w:sz w:val="22"/>
        </w:rPr>
        <w:t xml:space="preserve">means any electric line, communication circuit, cable system, video service line, data service line, antenna and other associated wireless equipment, or similar lines and facilities attached to a pole or other supporting structure subject to the safety jurisdiction of the commission pursuant to the Iowa electrical safety code, </w:t>
      </w:r>
      <w:hyperlink r:id="rId5">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occupant” </w:t>
      </w:r>
      <w:r>
        <w:rPr>
          <w:rFonts w:ascii="Times New Roman" w:hAnsi="Times New Roman"/>
          <w:b w:val="false"/>
          <w:i w:val="false"/>
          <w:color w:val="000000"/>
          <w:sz w:val="22"/>
        </w:rPr>
        <w:t>means any electric utility, telecommunications carrier, cable system provider, video service provider, data service provider, wireless service provider, or similar person or entity that constructs, operates, or maintains pole attachments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owner” </w:t>
      </w:r>
      <w:r>
        <w:rPr>
          <w:rFonts w:ascii="Times New Roman" w:hAnsi="Times New Roman"/>
          <w:b w:val="false"/>
          <w:i w:val="false"/>
          <w:color w:val="000000"/>
          <w:sz w:val="22"/>
        </w:rPr>
        <w:t xml:space="preserve">means a utility that owns poles subject to the safety jurisdiction of the commission pursuant to the Iowa electrical safety code, </w:t>
      </w:r>
      <w:hyperlink r:id="rId6">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Pole attachments to poles shall be constructed, installed, operated, and maintained in compliance with the Iowa electrical safety code, </w:t>
      </w:r>
      <w:hyperlink r:id="rId7">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 and the requirements and procedures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for access to poles; exceptions for service drops and overlashing.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pole owner shall provide nondiscriminatory access to poles it owns, to the extent required by federal or state law. Requests for access to poles by an electric utility, telecommunications carrier, cable system operator, video service provider, data service provider, wireless service provider, or similar person or entity shall be made in writing or by any method as may be agreed upon by the pole owner and the person or entity requesting access to the pole. If access is denied, the pole owner shall explain in detail the specific reason for denial and how the denial relates to reasons of lack of capacity, safety, reliability, or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drops are not subject to the notice and approval requirements in subparagraph </w:t>
      </w:r>
      <w:hyperlink r:id="rId8">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Instead, pole occupants shall provide notice to pole owners within 30 days of the installation of a new service drop,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Overlashing of existing lines is not subject to the notice and approval requirements in subparagraph </w:t>
      </w:r>
      <w:hyperlink r:id="rId9">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Pole occupants shall provide notice to pole owners of proposed overlashing at least 7 days prior to installation of the overlashing,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violation. </w:t>
      </w:r>
      <w:r>
        <w:rPr>
          <w:rFonts w:ascii="Times New Roman" w:hAnsi="Times New Roman"/>
          <w:b w:val="false"/>
          <w:i w:val="false"/>
          <w:color w:val="000000"/>
          <w:sz w:val="22"/>
        </w:rPr>
        <w:t>A pole owner shall notify in writing a pole occupant of an alleged violation of the Iowa electrical safety code by a pole attachment owned by the pole occupant or may provide notice by another method as may be agreed upon by the parties to a pole attachment agreement. The notice shall include the address and pole location where the alleged violation occurred, a description of the alleged violation, and suggested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 pole owner that the pole occupant has one or more pole attachments in violation of the Iowa electrical safety code, the pole occupant shall respond to the pole owner within 60 days in writing or by another method as may be agreed upon by the pole occupant and the pole owner. The response shall provide a plan for corrective action, state that the violation has been corrected, indicate that the pole attachment is owned by a different pole occupant, or indicate that the pole occupant disputes that a violation has occurred. The violation shall be corrected within 180 days of the date notification is received unless good cause is shown for any delay in taking corrective action. A disagreement that a violation has occurred, a claim that correction is not possible within the specific time frames due to events beyond the control of the pole occupant, or a claim that a different pole occupant is responsible for the alleged violation will be considered good cause to extend the time for taking corrective action. The pole occupant and pole owner may also agree to an extension of the time for taking corrective action. The pole owner and pole occupant shall cooperate in determining the cause of a violation and an efficient and cost-effective method of correcting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violation could reasonably be expected to endanger life or property, the pole occupant shall take the necessary action to correct, disconnect, or isolate the problem immediately upon notification. If immediate corrective action is not taken by the pole occupant for a violation that could reasonably be expected to endanger life or property, the pole owner may take the necessary corrective action and the pole occupant shall reimburse the pole owner for the actual cost of any corrective measures. If the pole owner is later determined to have caused the violation and the pole occupant has taken corrective action, the pole owner shall reimburse the pole occupant for the actual cost of the corrective action. Disputes concerning the ownership of the pole attachment should be resolved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Negotiated resolution of disputes. </w:t>
      </w:r>
      <w:r>
        <w:rPr>
          <w:rFonts w:ascii="Times New Roman" w:hAnsi="Times New Roman"/>
          <w:b w:val="false"/>
          <w:i w:val="false"/>
          <w:color w:val="000000"/>
          <w:sz w:val="22"/>
        </w:rPr>
        <w:t xml:space="preserve">Parties to disputes over alleged violations of the Iowa electrical safety code, the cause of a violation, the pole occupant responsible for the violation, the cost-effective corrective action, or any other dispute regarding the provisions of subrule </w:t>
      </w:r>
      <w:hyperlink r:id="rId10">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shall attempt to resolve disputes through good-faith negotiations. Parties may file an informal complaint with the commission pursuant to </w:t>
      </w:r>
      <w:hyperlink r:id="rId11">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as part of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concerning the requirements or procedures established in subrule </w:t>
      </w:r>
      <w:hyperlink r:id="rId12">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including alleged violations of the Iowa electrical safety code, may be filed with the commission by pole owners or pole occupants pursuant to the complaint procedures in </w:t>
      </w:r>
      <w:hyperlink r:id="rId1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Persons found to have violated the provisions of subrule </w:t>
      </w:r>
      <w:hyperlink r:id="rId14">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may be subject to civil penalties pursuant to Iowa Code section </w:t>
      </w:r>
      <w:hyperlink r:id="rId15">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or to other action by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1259C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5.4.pdf" Type="http://schemas.openxmlformats.org/officeDocument/2006/relationships/hyperlink" Id="rId4"/>
    <Relationship TargetMode="External" Target="https://www.legis.iowa.gov/docs/iac/rule/199.25.2.pdf" Type="http://schemas.openxmlformats.org/officeDocument/2006/relationships/hyperlink" Id="rId5"/>
    <Relationship TargetMode="External" Target="https://www.legis.iowa.gov/docs/iac/rule/199.25.2.pdf" Type="http://schemas.openxmlformats.org/officeDocument/2006/relationships/hyperlink" Id="rId6"/>
    <Relationship TargetMode="External" Target="https://www.legis.iowa.gov/docs/iac/rule/199.25.2.pdf" Type="http://schemas.openxmlformats.org/officeDocument/2006/relationships/hyperlink" Id="rId7"/>
    <Relationship TargetMode="External" Target="https://www.legis.iowa.gov/docs/iac/rule/199.25.4.pdf" Type="http://schemas.openxmlformats.org/officeDocument/2006/relationships/hyperlink" Id="rId8"/>
    <Relationship TargetMode="External" Target="https://www.legis.iowa.gov/docs/iac/rule/199.25.4.pdf" Type="http://schemas.openxmlformats.org/officeDocument/2006/relationships/hyperlink" Id="rId9"/>
    <Relationship TargetMode="External" Target="https://www.legis.iowa.gov/docs/iac/rule/199.25.4.pdf" Type="http://schemas.openxmlformats.org/officeDocument/2006/relationships/hyperlink" Id="rId10"/>
    <Relationship TargetMode="External" Target="https://www.legis.iowa.gov/docs/iac/chapter/199.6.pdf" Type="http://schemas.openxmlformats.org/officeDocument/2006/relationships/hyperlink" Id="rId11"/>
    <Relationship TargetMode="External" Target="https://www.legis.iowa.gov/docs/iac/rule/199.25.4.pdf" Type="http://schemas.openxmlformats.org/officeDocument/2006/relationships/hyperlink" Id="rId12"/>
    <Relationship TargetMode="External" Target="https://www.legis.iowa.gov/docs/iac/chapter/199.6.pdf" Type="http://schemas.openxmlformats.org/officeDocument/2006/relationships/hyperlink" Id="rId13"/>
    <Relationship TargetMode="External" Target="https://www.legis.iowa.gov/docs/iac/rule/199.25.4.pdf" Type="http://schemas.openxmlformats.org/officeDocument/2006/relationships/hyperlink" Id="rId14"/>
    <Relationship TargetMode="External" Target="https://www.legis.iowa.gov/docs/ico/chapter/476.5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