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199—22.7</w:t>
      </w:r>
      <w:r>
        <w:rPr>
          <w:rFonts w:ascii="Times New Roman" w:hAnsi="Times New Roman"/>
          <w:b/>
          <w:i w:val="false"/>
          <w:color w:val="000000"/>
          <w:sz w:val="22"/>
        </w:rPr>
        <w:t xml:space="preserve">(476) </w:t>
      </w:r>
      <w:r>
        <w:rPr>
          <w:rFonts w:ascii="Times New Roman" w:hAnsi="Times New Roman"/>
          <w:b/>
          <w:i w:val="false"/>
          <w:color w:val="000000"/>
          <w:sz w:val="22"/>
        </w:rPr>
        <w:t xml:space="preserve">Service territories. </w:t>
      </w:r>
      <w:r>
        <w:rPr>
          <w:rFonts w:ascii="Times New Roman" w:hAnsi="Times New Roman"/>
          <w:b w:val="false"/>
          <w:i w:val="false"/>
          <w:color w:val="000000"/>
          <w:sz w:val="22"/>
        </w:rPr>
        <w:t>Service territories are defined by the telephone exchange area boundary maps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Map availability. </w:t>
      </w:r>
      <w:r>
        <w:rPr>
          <w:rFonts w:ascii="Times New Roman" w:hAnsi="Times New Roman"/>
          <w:b w:val="false"/>
          <w:i w:val="false"/>
          <w:color w:val="000000"/>
          <w:sz w:val="22"/>
        </w:rPr>
        <w:t xml:space="preserve">The maps are available for viewing at the commission’s office during regular business hours, and copies are available at the cost of reproduction.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Map specifications. </w:t>
      </w:r>
      <w:r>
        <w:rPr>
          <w:rFonts w:ascii="Times New Roman" w:hAnsi="Times New Roman"/>
          <w:b w:val="false"/>
          <w:i w:val="false"/>
          <w:color w:val="000000"/>
          <w:sz w:val="22"/>
        </w:rPr>
        <w:t>All ILECs shall have on file with the commission maps which identify their exchanges and both the internal exchange boundaries where the telecommunications service provider’s own exchanges abut and the ultimate boundaries where the telecommunications service provider’s exchanges abut the exchanges of other telecommunications service providers. A CLEC shall either file its own exchange boundary map or adopt the exchange boundary map filed by the ILEC serving that exchange. Maps shall be filed in electronic format as approved by the commission. ILECs and CLECs shall file updated exchange maps when the company adds service to an exchange or when the company ceases providing service to an exchange.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