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199—22.5</w:t>
      </w:r>
      <w:r>
        <w:rPr>
          <w:rFonts w:ascii="Times New Roman" w:hAnsi="Times New Roman"/>
          <w:b/>
          <w:i w:val="false"/>
          <w:color w:val="000000"/>
          <w:sz w:val="22"/>
        </w:rPr>
        <w:t xml:space="preserve">(476) </w:t>
      </w:r>
      <w:r>
        <w:rPr>
          <w:rFonts w:ascii="Times New Roman" w:hAnsi="Times New Roman"/>
          <w:b/>
          <w:i w:val="false"/>
          <w:color w:val="000000"/>
          <w:sz w:val="22"/>
        </w:rPr>
        <w:t xml:space="preserve">Interexchange telecommunications service provider service and access.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22.5(1)</w:t>
      </w:r>
      <w:r>
        <w:rPr>
          <w:rFonts w:ascii="Times New Roman" w:hAnsi="Times New Roman"/>
          <w:b w:val="false"/>
          <w:i w:val="false"/>
          <w:color w:val="000000"/>
          <w:sz w:val="22"/>
        </w:rPr>
        <w:t> </w:t>
      </w:r>
      <w:r>
        <w:rPr>
          <w:rFonts w:ascii="Times New Roman" w:hAnsi="Times New Roman"/>
          <w:b w:val="false"/>
          <w:i/>
          <w:color w:val="000000"/>
          <w:sz w:val="22"/>
        </w:rPr>
        <w:t xml:space="preserve">Interexchange telecommunications service provider service. </w:t>
      </w:r>
      <w:r>
        <w:rPr>
          <w:rFonts w:ascii="Times New Roman" w:hAnsi="Times New Roman"/>
          <w:b w:val="false"/>
          <w:i w:val="false"/>
          <w:color w:val="000000"/>
          <w:sz w:val="22"/>
        </w:rPr>
        <w:t>An interexchange telecommunications service provider may provide interexchange service by complying with the laws of this state and the rules of this commission. Any company or other entity accessing local exchange facilities or services in order to provide interexchange communication services to the public shall be considered to be an interexchange telecommunications service provider and subject to the rules herein, unless otherwise exempted. Such telecommunications service providers are required to file a registration form, reports, and other items and are subject to service standards as specified in commission rules, unless otherwise exempted.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22.5(2)</w:t>
      </w:r>
      <w:r>
        <w:rPr>
          <w:rFonts w:ascii="Times New Roman" w:hAnsi="Times New Roman"/>
          <w:b w:val="false"/>
          <w:i w:val="false"/>
          <w:color w:val="000000"/>
          <w:sz w:val="22"/>
        </w:rPr>
        <w:t> </w:t>
      </w:r>
      <w:r>
        <w:rPr>
          <w:rFonts w:ascii="Times New Roman" w:hAnsi="Times New Roman"/>
          <w:b w:val="false"/>
          <w:i/>
          <w:color w:val="000000"/>
          <w:sz w:val="22"/>
        </w:rPr>
        <w:t xml:space="preserve">Interexchange telecommunications service provider intrastate access. </w:t>
      </w:r>
      <w:r>
        <w:rPr>
          <w:rFonts w:ascii="Times New Roman" w:hAnsi="Times New Roman"/>
          <w:b w:val="false"/>
          <w:i w:val="false"/>
          <w:color w:val="000000"/>
          <w:sz w:val="22"/>
        </w:rPr>
        <w:t>Intrastate access to local exchange services or facilities may be obtained by an interexchange telecommunications service provider by ordering and paying for such intrastate access pursuant to the applicable tariff filed by the exchange telecommunications service provider in question, or as otherwise provided by agreement between the parties.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