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199—22.2</w:t>
      </w:r>
      <w:r>
        <w:rPr>
          <w:rFonts w:ascii="Times New Roman" w:hAnsi="Times New Roman"/>
          <w:b/>
          <w:i w:val="false"/>
          <w:color w:val="000000"/>
          <w:sz w:val="22"/>
        </w:rPr>
        <w:t xml:space="preserve">(476) </w:t>
      </w:r>
      <w:r>
        <w:rPr>
          <w:rFonts w:ascii="Times New Roman" w:hAnsi="Times New Roman"/>
          <w:b/>
          <w:i w:val="false"/>
          <w:color w:val="000000"/>
          <w:sz w:val="22"/>
        </w:rPr>
        <w:t xml:space="preserve">Tariffs.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w:t>
      </w:r>
      <w:r>
        <w:rPr>
          <w:rFonts w:ascii="Times New Roman" w:hAnsi="Times New Roman"/>
          <w:b w:val="false"/>
          <w:i w:val="false"/>
          <w:color w:val="000000"/>
          <w:sz w:val="22"/>
        </w:rPr>
        <w:t> </w:t>
      </w:r>
      <w:r>
        <w:rPr>
          <w:rFonts w:ascii="Times New Roman" w:hAnsi="Times New Roman"/>
          <w:b w:val="false"/>
          <w:i/>
          <w:color w:val="000000"/>
          <w:sz w:val="22"/>
        </w:rPr>
        <w:t xml:space="preserve">Tariffs to be filed with the commission. </w:t>
      </w:r>
      <w:r>
        <w:rPr>
          <w:rFonts w:ascii="Times New Roman" w:hAnsi="Times New Roman"/>
          <w:b w:val="false"/>
          <w:i w:val="false"/>
          <w:color w:val="000000"/>
          <w:sz w:val="22"/>
        </w:rPr>
        <w:t>Telecommunications service providers which are required to file tariffs with the commission, such as alternative operator service companies and telecommunications service providers offering intrastate access, shall maintain tariffs in a current status. A copy of the tariffs shall be available upon request. The tariffs shall be classified, designated, arranged, and submitted so as to conform to the requirements of this chapter or commission order. Provisions in the tariffs shall be definite and stated so as to minimize ambiguity or the possibility of misinterpretation. The form, identification, and content of tariffs shall be in accordance with these rules unless otherwise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w:t>
      </w:r>
      <w:r>
        <w:rPr>
          <w:rFonts w:ascii="Times New Roman" w:hAnsi="Times New Roman"/>
          <w:b w:val="false"/>
          <w:i w:val="false"/>
          <w:color w:val="000000"/>
          <w:sz w:val="22"/>
        </w:rPr>
        <w:t> </w:t>
      </w:r>
      <w:r>
        <w:rPr>
          <w:rFonts w:ascii="Times New Roman" w:hAnsi="Times New Roman"/>
          <w:b w:val="false"/>
          <w:i/>
          <w:color w:val="000000"/>
          <w:sz w:val="22"/>
        </w:rPr>
        <w:t xml:space="preserve">Form and identification. </w:t>
      </w:r>
      <w:r>
        <w:rPr>
          <w:rFonts w:ascii="Times New Roman" w:hAnsi="Times New Roman"/>
          <w:b w:val="false"/>
          <w:i w:val="false"/>
          <w:color w:val="000000"/>
          <w:sz w:val="22"/>
        </w:rPr>
        <w:t>All tariffs shall conform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tariff shall be printed so as to result in a clear and permanent record. The sheets of the tariff should be ruled or spaced to set off a border on the left side. In the case of telecommunications service providers subject to regulation by any federal agency, the format of the sheets of the tariff filed with the commission may be the same format as is required by the federal agency, provided that the requirements of the commission as to title page; identity of superseding, replacing or revising sheets; identity of amending sheets; identity of the filing telecommunications service provider, issuing official, date of issue and effective date; and the words “Filed with the commission” shall be applied to modify the federal agency format for the purposes of filing with this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title page of every tariff and supplement shall show the following in the order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page shall be the title page, which shall show:</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270" w:hRule="atLeast"/>
        </w:trPr>
        <w:tc>
          <w:tcPr>
            <w:tcW w:w="1119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Name of Telecommunications Service Provider</w:t>
            </w:r>
          </w:p>
        </w:tc>
      </w:tr>
      <w:tr>
        <w:trPr>
          <w:trHeight w:val="270" w:hRule="atLeast"/>
        </w:trPr>
        <w:tc>
          <w:tcPr>
            <w:tcW w:w="1119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Telecommunications Tariff</w:t>
            </w:r>
          </w:p>
        </w:tc>
      </w:tr>
      <w:tr>
        <w:trPr>
          <w:trHeight w:val="270" w:hRule="atLeast"/>
        </w:trPr>
        <w:tc>
          <w:tcPr>
            <w:tcW w:w="1119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Filed with Iowa Utilities Commission</w:t>
            </w:r>
          </w:p>
        </w:tc>
      </w:tr>
      <w:tr>
        <w:trPr>
          <w:trHeight w:val="270" w:hRule="atLeast"/>
        </w:trPr>
        <w:tc>
          <w:tcPr>
            <w:tcW w:w="1119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Date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tariff is to be superseded or replaced in its entirety, the replacing tariff shall show on its title page that it is a revision of a tariff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revision or amendment is made to a filed tariff, the revision or amendment shall show on each sheet the designation of the original tariff or the number of the immediately preceding revision or amendment which it replaces.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new part of a tariff eliminates an existing part of a tariff, it shall so state and clearly identify the part eliminated.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tariff modifications as described above shall be marked in the right-hand margin of the replacing tariff sheet with symbols as here described to indicate the place, nature and extent of the change in text. The marked version shall show all additions and deletions, with all new language marked by underlined text and all deleted language indicated by strike-through. The following symbols are to be used in identifying changes to tariffs.</w:t>
      </w:r>
    </w:p>
    <w:tbl>
      <w:tblPr>
        <w:tblW w:w="5000" w:type="pct"/>
        <w:tblCellSpacing w:w="0" w:type="auto"/>
        <w:tblBorders>
          <w:top w:val="none"/>
          <w:left w:val="none"/>
          <w:bottom w:val="none"/>
          <w:right w:val="none"/>
          <w:insideH w:val="none"/>
          <w:insideV w:val="none"/>
        </w:tblBorders>
        <w:tblLayout w:type="fixed"/>
      </w:tblPr>
      <w:tblGrid>
        <w:gridCol w:w="2132"/>
        <w:gridCol w:w="9388"/>
      </w:tblGrid>
      <w:tr>
        <w:trPr>
          <w:trHeight w:val="270" w:hRule="atLeast"/>
        </w:trPr>
        <w:tc>
          <w:tcPr>
            <w:tcW w:w="2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Symbol</w:t>
            </w:r>
          </w:p>
        </w:tc>
        <w:tc>
          <w:tcPr>
            <w:tcW w:w="93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Meaning</w:t>
            </w:r>
          </w:p>
        </w:tc>
      </w:tr>
      <w:tr>
        <w:trPr>
          <w:trHeight w:val="270" w:hRule="atLeast"/>
        </w:trPr>
        <w:tc>
          <w:tcPr>
            <w:tcW w:w="21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(C)</w:t>
            </w:r>
          </w:p>
        </w:tc>
        <w:tc>
          <w:tcPr>
            <w:tcW w:w="93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 change in regulation.</w:t>
            </w:r>
          </w:p>
        </w:tc>
      </w:tr>
      <w:tr>
        <w:trPr>
          <w:trHeight w:val="270" w:hRule="atLeast"/>
        </w:trPr>
        <w:tc>
          <w:tcPr>
            <w:tcW w:w="21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(D)</w:t>
            </w:r>
          </w:p>
        </w:tc>
        <w:tc>
          <w:tcPr>
            <w:tcW w:w="93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 discontinued rate or regulation.</w:t>
            </w:r>
          </w:p>
        </w:tc>
      </w:tr>
      <w:tr>
        <w:trPr>
          <w:trHeight w:val="630" w:hRule="atLeast"/>
        </w:trPr>
        <w:tc>
          <w:tcPr>
            <w:tcW w:w="21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(I)</w:t>
            </w:r>
          </w:p>
        </w:tc>
        <w:tc>
          <w:tcPr>
            <w:tcW w:w="93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 increased rate.</w:t>
            </w:r>
          </w:p>
        </w:tc>
      </w:tr>
      <w:tr>
        <w:trPr>
          <w:trHeight w:val="270" w:hRule="atLeast"/>
        </w:trPr>
        <w:tc>
          <w:tcPr>
            <w:tcW w:w="21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(N)</w:t>
            </w:r>
          </w:p>
        </w:tc>
        <w:tc>
          <w:tcPr>
            <w:tcW w:w="93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 new rate, treatment or regulation.</w:t>
            </w:r>
          </w:p>
        </w:tc>
      </w:tr>
      <w:tr>
        <w:trPr>
          <w:trHeight w:val="270" w:hRule="atLeast"/>
        </w:trPr>
        <w:tc>
          <w:tcPr>
            <w:tcW w:w="21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(R)</w:t>
            </w:r>
          </w:p>
        </w:tc>
        <w:tc>
          <w:tcPr>
            <w:tcW w:w="93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 reduced rate or new treatment resulting in a reduced rate.</w:t>
            </w:r>
          </w:p>
        </w:tc>
      </w:tr>
      <w:tr>
        <w:trPr>
          <w:trHeight w:val="495" w:hRule="atLeast"/>
        </w:trPr>
        <w:tc>
          <w:tcPr>
            <w:tcW w:w="21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(T)</w:t>
            </w:r>
          </w:p>
        </w:tc>
        <w:tc>
          <w:tcPr>
            <w:tcW w:w="93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 change in the text that does not include a change in rate, treatment, or regulation.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shall have, in addition to the information required above, the following further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telecommunications service provider, which shall be set forth above the words “Telecommunications Service Provider Tariff” under which shall be set forth the words “Filed with commission.” If the telecommunications service provider is not a corporation and a trade name is used, the name of the individual or partners must precede the trade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issue date and the name of the issuing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effective date.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4831C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