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199—13.9</w:t>
      </w:r>
      <w:r>
        <w:rPr>
          <w:rFonts w:ascii="Times New Roman" w:hAnsi="Times New Roman"/>
          <w:b/>
          <w:i w:val="false"/>
          <w:color w:val="000000"/>
          <w:sz w:val="22"/>
        </w:rPr>
        <w:t xml:space="preserve">(479B) </w:t>
      </w:r>
      <w:r>
        <w:rPr>
          <w:rFonts w:ascii="Times New Roman" w:hAnsi="Times New Roman"/>
          <w:b/>
          <w:i w:val="false"/>
          <w:color w:val="000000"/>
          <w:sz w:val="22"/>
        </w:rPr>
        <w:t xml:space="preserve">Amendment of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An amendment of a pipeline permit by the commission is required in any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of an additional pipeline paralleling all or part of an existing pipeline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an existing pipeline of the pipeline company outside of the permitted permanent route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Relocation or replacement of an existing pipeline of the pipeline company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Relocates the pipeline outside of the permitted permanent route easement approved by the commission;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Involves relocation or replacement requiring new or additional interests in property. If the relocation or replacement is for five miles or more of pipe to be operated in excess of 150 pounds per square inch gauge, an informational meeting, as provided in rule 199—13.2(479B), shall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Contiguous extension of an underground storage area of the pipeline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Modification of any condition or limitation placed on the construction or operation of the pipeline in the final order granting the pipeline permit or previous renewal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 for amendment.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for amendment shall include the docket number and issue date of the permit for which amendment is sought and shall clearly state the purpose of the petition. If the petition is for construction of additional pipeline facilities, or expansion of an underground storage area, the same exhibits as required for a petition for permit shall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applicable procedures for petition for permit, including hearing, shall be followed. Upon appropriate determination by the commission, an amendment to a permit shall be issued. The amendment shall be subject to the same conditions with respect to commencement of construction within two years and the filing of final routing maps as required for pipeline permits.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