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199—13.8</w:t>
      </w:r>
      <w:r>
        <w:rPr>
          <w:rFonts w:ascii="Times New Roman" w:hAnsi="Times New Roman"/>
          <w:b/>
          <w:i w:val="false"/>
          <w:color w:val="000000"/>
          <w:sz w:val="22"/>
        </w:rPr>
        <w:t xml:space="preserve">(479B) </w:t>
      </w:r>
      <w:r>
        <w:rPr>
          <w:rFonts w:ascii="Times New Roman" w:hAnsi="Times New Roman"/>
          <w:b/>
          <w:i w:val="false"/>
          <w:color w:val="000000"/>
          <w:sz w:val="22"/>
        </w:rPr>
        <w:t xml:space="preserve">Renewal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13.8(1)</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renewal of an original or previously renewed pipeline permit may be filed at any time subsequent to issuance of the permit and shall be filed at least one year prior to expiration of the permit. This requirement is not applicable to renewal of permits that expire within one year of October 13, 2021. The petition shall be made on the form prescribed by the commission. Instructions for the petition are included as part of the form, and the form is available on the commission’s website. The petition shall include the name of the pipeline company requesting renewal of the permit, the pipeline company’s principal office and place of business, a description of any amendment or reportable change since the permit or previous renewal permit was issued, and the same exhibits as required for a new permit. The petition shall be considered filed with the commission on the date accepted into the commission’s electronic filing system as provided for in </w:t>
      </w:r>
      <w:hyperlink r:id="rId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The petition shall be attested to by an officer, official, or attorney with authority to represent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13.8(2)</w:t>
      </w:r>
      <w:r>
        <w:rPr>
          <w:rFonts w:ascii="Times New Roman" w:hAnsi="Times New Roman"/>
          <w:b w:val="false"/>
          <w:i w:val="false"/>
          <w:color w:val="000000"/>
          <w:sz w:val="22"/>
        </w:rPr>
        <w:t> </w:t>
      </w:r>
      <w:r>
        <w:rPr>
          <w:rFonts w:ascii="Times New Roman" w:hAnsi="Times New Roman"/>
          <w:b w:val="false"/>
          <w:i w:val="false"/>
          <w:color w:val="000000"/>
          <w:sz w:val="22"/>
        </w:rPr>
        <w:t>The procedure for a petition for permit shall be followed with respect to publication of notice, objections, and assessment of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are unresolved issues of fact or law, or if an objection is filed within 20 days of the second publication of the published notice, the commission shall set the matter for hearing. If a hearing is not required, and the petition satisfies the requirements of this rule, a renewal permit will be issued upon the filing of the proof of publication as required by rule </w:t>
      </w:r>
      <w:hyperlink r:id="rId5">
        <w:r>
          <w:rPr>
            <w:rStyle w:val="Hyperlink"/>
            <w:rFonts w:ascii="Times New Roman" w:hAnsi="Times New Roman"/>
            <w:b w:val="false"/>
            <w:i w:val="false"/>
            <w:color w:val="000000"/>
            <w:sz w:val="22"/>
          </w:rPr>
          <w:t>199—13.4</w:t>
        </w:r>
      </w:hyperlink>
      <w:r>
        <w:rPr>
          <w:rFonts w:ascii="Times New Roman" w:hAnsi="Times New Roman"/>
          <w:b w:val="false"/>
          <w:i w:val="false"/>
          <w:color w:val="000000"/>
          <w:sz w:val="22"/>
        </w:rPr>
        <w:t>(479B).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13.8(4)</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set the term of a renewal permit. The term may be less than, but shall not exceed, 25 years from the date of issuance. The same procedure shall be followed in subsequent renewals.</w:t>
      </w:r>
    </w:p>
    <w:p>
      <w:pPr>
        <w:spacing w:before="0" w:after="0"/>
        <w:ind w:left="120"/>
        <w:jc w:val="left"/>
      </w:pP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14.pdf" Type="http://schemas.openxmlformats.org/officeDocument/2006/relationships/hyperlink" Id="rId4"/>
    <Relationship TargetMode="External" Target="https://www.legis.iowa.gov/docs/iac/rule/199.13.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