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199—13.6</w:t>
      </w:r>
      <w:r>
        <w:rPr>
          <w:rFonts w:ascii="Times New Roman" w:hAnsi="Times New Roman"/>
          <w:b/>
          <w:i w:val="false"/>
          <w:color w:val="000000"/>
          <w:sz w:val="22"/>
        </w:rPr>
        <w:t xml:space="preserve">(479B) </w:t>
      </w:r>
      <w:r>
        <w:rPr>
          <w:rFonts w:ascii="Times New Roman" w:hAnsi="Times New Roman"/>
          <w:b/>
          <w:i w:val="false"/>
          <w:color w:val="000000"/>
          <w:sz w:val="22"/>
        </w:rPr>
        <w:t xml:space="preserve">Hearing. </w:t>
      </w:r>
      <w:r>
        <w:rPr>
          <w:rFonts w:ascii="Times New Roman" w:hAnsi="Times New Roman"/>
          <w:b w:val="false"/>
          <w:i w:val="false"/>
          <w:color w:val="000000"/>
          <w:sz w:val="22"/>
        </w:rPr>
        <w:t>A petition for a pipeline permit, or amendment to a pipeline permit, shall be scheduled for hearing not less than 10 nor more than 30 days from the date of last publication of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13.6(1)</w:t>
      </w:r>
      <w:r>
        <w:rPr>
          <w:rFonts w:ascii="Times New Roman" w:hAnsi="Times New Roman"/>
          <w:b w:val="false"/>
          <w:i w:val="false"/>
          <w:color w:val="000000"/>
          <w:sz w:val="22"/>
        </w:rPr>
        <w:t> </w:t>
      </w:r>
      <w:r>
        <w:rPr>
          <w:rFonts w:ascii="Times New Roman" w:hAnsi="Times New Roman"/>
          <w:b w:val="false"/>
          <w:i w:val="false"/>
          <w:color w:val="000000"/>
          <w:sz w:val="22"/>
        </w:rPr>
        <w:t xml:space="preserve">Representation of a pipeline company at a pipeline permit hearing shall comply with the requirements of </w:t>
      </w:r>
      <w:hyperlink r:id="rId4">
        <w:r>
          <w:rPr>
            <w:rStyle w:val="Hyperlink"/>
            <w:rFonts w:ascii="Times New Roman" w:hAnsi="Times New Roman"/>
            <w:b w:val="false"/>
            <w:i w:val="false"/>
            <w:color w:val="000000"/>
            <w:sz w:val="22"/>
          </w:rPr>
          <w:t>199—subrule 7.4(8)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13.6(2)</w:t>
      </w:r>
      <w:r>
        <w:rPr>
          <w:rFonts w:ascii="Times New Roman" w:hAnsi="Times New Roman"/>
          <w:b w:val="false"/>
          <w:i w:val="false"/>
          <w:color w:val="000000"/>
          <w:sz w:val="22"/>
        </w:rPr>
        <w:t> </w:t>
      </w:r>
      <w:r>
        <w:rPr>
          <w:rFonts w:ascii="Times New Roman" w:hAnsi="Times New Roman"/>
          <w:b w:val="false"/>
          <w:i w:val="false"/>
          <w:color w:val="000000"/>
          <w:sz w:val="22"/>
        </w:rPr>
        <w:t>The commission or presiding officer may schedule a prehearing conference to consider a procedural schedule for the petition and a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13.6(3)</w:t>
      </w:r>
      <w:r>
        <w:rPr>
          <w:rFonts w:ascii="Times New Roman" w:hAnsi="Times New Roman"/>
          <w:b w:val="false"/>
          <w:i w:val="false"/>
          <w:color w:val="000000"/>
          <w:sz w:val="22"/>
        </w:rPr>
        <w:t> </w:t>
      </w:r>
      <w:r>
        <w:rPr>
          <w:rFonts w:ascii="Times New Roman" w:hAnsi="Times New Roman"/>
          <w:b w:val="false"/>
          <w:i w:val="false"/>
          <w:color w:val="000000"/>
          <w:sz w:val="22"/>
        </w:rPr>
        <w:t>One or more petitions may be consolidated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13.6(4)</w:t>
      </w:r>
      <w:r>
        <w:rPr>
          <w:rFonts w:ascii="Times New Roman" w:hAnsi="Times New Roman"/>
          <w:b w:val="false"/>
          <w:i w:val="false"/>
          <w:color w:val="000000"/>
          <w:sz w:val="22"/>
        </w:rPr>
        <w:t> </w:t>
      </w:r>
      <w:r>
        <w:rPr>
          <w:rFonts w:ascii="Times New Roman" w:hAnsi="Times New Roman"/>
          <w:b w:val="false"/>
          <w:i w:val="false"/>
          <w:color w:val="000000"/>
          <w:sz w:val="22"/>
        </w:rPr>
        <w:t xml:space="preserve">Hearings shall be scheduled and held in the office of the commission or at any other place within the state of Iowa as the commission may designate pursuant to Iowa Code section </w:t>
      </w:r>
      <w:hyperlink r:id="rId5">
        <w:r>
          <w:rPr>
            <w:rStyle w:val="Hyperlink"/>
            <w:rFonts w:ascii="Times New Roman" w:hAnsi="Times New Roman"/>
            <w:b w:val="false"/>
            <w:i w:val="false"/>
            <w:color w:val="000000"/>
            <w:sz w:val="22"/>
          </w:rPr>
          <w:t>479B.6</w:t>
        </w:r>
      </w:hyperlink>
      <w:r>
        <w:rPr>
          <w:rFonts w:ascii="Times New Roman" w:hAnsi="Times New Roman"/>
          <w:b w:val="false"/>
          <w:i w:val="false"/>
          <w:color w:val="000000"/>
          <w:sz w:val="22"/>
        </w:rPr>
        <w:t>. Requests for conducting a hearing or taking testimony by telephone or electronic means may be approved by the commission or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13.6(5)</w:t>
      </w:r>
      <w:r>
        <w:rPr>
          <w:rFonts w:ascii="Times New Roman" w:hAnsi="Times New Roman"/>
          <w:b w:val="false"/>
          <w:i w:val="false"/>
          <w:color w:val="000000"/>
          <w:sz w:val="22"/>
        </w:rPr>
        <w:t> </w:t>
      </w:r>
      <w:r>
        <w:rPr>
          <w:rFonts w:ascii="Times New Roman" w:hAnsi="Times New Roman"/>
          <w:b w:val="false"/>
          <w:i w:val="false"/>
          <w:color w:val="000000"/>
          <w:sz w:val="22"/>
        </w:rPr>
        <w:t>The hearing requirements in this rule also apply to petitions for hazardous liquid underground storage permits and amendments to hazardous liquid underground storage permits.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5894C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7.4.pdf" Type="http://schemas.openxmlformats.org/officeDocument/2006/relationships/hyperlink" Id="rId4"/>
    <Relationship TargetMode="External" Target="https://www.legis.iowa.gov/docs/ico/chapter/479B.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