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199—13.4</w:t>
      </w:r>
      <w:r>
        <w:rPr>
          <w:rFonts w:ascii="Times New Roman" w:hAnsi="Times New Roman"/>
          <w:b/>
          <w:i w:val="false"/>
          <w:color w:val="000000"/>
          <w:sz w:val="22"/>
        </w:rPr>
        <w:t xml:space="preserve">(479B)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petition for permit is filed with the commission, the petition shall be reviewed by commission staff for compliance with applicable laws. Once commission staff has completed the review and filed a report regarding the proposed pipeline and petition, the petition shall be set for hearing. This subrule does not apply to renewal petitions filed pursuant to rule </w:t>
      </w:r>
      <w:hyperlink r:id="rId4">
        <w:r>
          <w:rPr>
            <w:rStyle w:val="Hyperlink"/>
            <w:rFonts w:ascii="Times New Roman" w:hAnsi="Times New Roman"/>
            <w:b w:val="false"/>
            <w:i w:val="false"/>
            <w:color w:val="000000"/>
            <w:sz w:val="22"/>
          </w:rPr>
          <w:t>199—13.8</w:t>
        </w:r>
      </w:hyperlink>
      <w:r>
        <w:rPr>
          <w:rFonts w:ascii="Times New Roman" w:hAnsi="Times New Roman"/>
          <w:b w:val="false"/>
          <w:i w:val="false"/>
          <w:color w:val="000000"/>
          <w:sz w:val="22"/>
        </w:rPr>
        <w:t>(479B) which do not require a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val="false"/>
          <w:color w:val="000000"/>
          <w:sz w:val="22"/>
        </w:rPr>
        <w:t>The pipeline company shall be furnished copies of the official notice of hearing, which the pipeline company shall cause to be published once each week for two consecutive weeks in a newspaper of general circulation in each county in or through which construction is proposed. The second publication shall be not less than 10 and no more than 30 days prior to the date of the hearing. Proof of publication shall be filed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w:t>
      </w:r>
      <w:r>
        <w:rPr>
          <w:rFonts w:ascii="Times New Roman" w:hAnsi="Times New Roman"/>
          <w:b w:val="false"/>
          <w:i w:val="false"/>
          <w:color w:val="000000"/>
          <w:sz w:val="22"/>
        </w:rPr>
        <w:t> </w:t>
      </w:r>
      <w:r>
        <w:rPr>
          <w:rFonts w:ascii="Times New Roman" w:hAnsi="Times New Roman"/>
          <w:b w:val="false"/>
          <w:i w:val="false"/>
          <w:color w:val="000000"/>
          <w:sz w:val="22"/>
        </w:rPr>
        <w:t>The published notice shall include a map showing either the pipeline route or the area affected by underground hazardous liquid storage, or a telephone number and an address through which interested persons may obtain a copy of a map from the pipeline company at no charge. If a map other than that filed as Exhibit B will be published or provided, a copy shall be filed with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w:t>
      </w:r>
      <w:r>
        <w:rPr>
          <w:rFonts w:ascii="Times New Roman" w:hAnsi="Times New Roman"/>
          <w:b w:val="false"/>
          <w:i w:val="false"/>
          <w:color w:val="000000"/>
          <w:sz w:val="22"/>
        </w:rPr>
        <w:t> </w:t>
      </w:r>
      <w:r>
        <w:rPr>
          <w:rFonts w:ascii="Times New Roman" w:hAnsi="Times New Roman"/>
          <w:b w:val="false"/>
          <w:i w:val="false"/>
          <w:color w:val="000000"/>
          <w:sz w:val="22"/>
        </w:rPr>
        <w:t>If a petition for permit seeks the right of eminent domain, the pipeline company shall, in addition to the published notice of hearing, serve a copy of the notice of hearing on the landowners and any affected person with an interest in the property over which eminent domain is sought. A copy of the Exhibit H filed with the commission for the affected property shall accompany the notice. Service shall be by certified United States mail, return receipt requested, addressed to the person’s last-known address, and this notice shall be mailed no later than the first day of publication of the official notice of hearing on the petition. Not less than five days prior to the date of the hearing, the pipeline company shall file with the commission a certificate of service showing all persons and addresses to which notice was sent by certified mail, the date of the mailing, and an affidavit that all affected persons were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13.4(5)</w:t>
      </w:r>
      <w:r>
        <w:rPr>
          <w:rFonts w:ascii="Times New Roman" w:hAnsi="Times New Roman"/>
          <w:b w:val="false"/>
          <w:i w:val="false"/>
          <w:color w:val="000000"/>
          <w:sz w:val="22"/>
        </w:rPr>
        <w:t> </w:t>
      </w:r>
      <w:r>
        <w:rPr>
          <w:rFonts w:ascii="Times New Roman" w:hAnsi="Times New Roman"/>
          <w:b w:val="false"/>
          <w:i w:val="false"/>
          <w:color w:val="000000"/>
          <w:sz w:val="22"/>
        </w:rPr>
        <w:t>If a petition does not seek the right of eminent domain, but all required interests in private property have not yet been obtained at the time the petition is filed, a copy of the notice of hearing shall be served upon any affected person with interests in the property. Service shall be by ordinary mail, addressed to the last-known address, and mailed no later than the first day of publication of the official notice. A copy of each letter of notification, or one copy of the letter accompanied by a written statement listing all persons to whom the notice was mailed, the date of mailing, and an affidavit that all affected persons were served, shall be filed with the commission not less than five days prior to the hearing.</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13.8.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