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199—13.16</w:t>
      </w:r>
      <w:r>
        <w:rPr>
          <w:rFonts w:ascii="Times New Roman" w:hAnsi="Times New Roman"/>
          <w:b/>
          <w:i w:val="false"/>
          <w:color w:val="000000"/>
          <w:sz w:val="22"/>
        </w:rPr>
        <w:t xml:space="preserve">(479B) </w:t>
      </w:r>
      <w:r>
        <w:rPr>
          <w:rFonts w:ascii="Times New Roman" w:hAnsi="Times New Roman"/>
          <w:b/>
          <w:i w:val="false"/>
          <w:color w:val="000000"/>
          <w:sz w:val="22"/>
        </w:rPr>
        <w:t xml:space="preserve">Termination of petition for pipeline permit proceedings. </w:t>
      </w:r>
      <w:r>
        <w:rPr>
          <w:rFonts w:ascii="Times New Roman" w:hAnsi="Times New Roman"/>
          <w:b w:val="false"/>
          <w:i w:val="false"/>
          <w:color w:val="000000"/>
          <w:sz w:val="22"/>
        </w:rPr>
        <w:t>If a pipeline company fails to correct an identified deficiency within six months after written notification by the commission, or after such shorter period as the commission may specify in the written notification, to cure an incomplete or deficient permit petition, or a pipeline company fails to publish the official notice within 90 days after the official notice is provided by the commission, the commission may dismiss the petition.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