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199—13.15</w:t>
      </w:r>
      <w:r>
        <w:rPr>
          <w:rFonts w:ascii="Times New Roman" w:hAnsi="Times New Roman"/>
          <w:b/>
          <w:i w:val="false"/>
          <w:color w:val="000000"/>
          <w:sz w:val="22"/>
        </w:rPr>
        <w:t xml:space="preserve">(479B) </w:t>
      </w:r>
      <w:r>
        <w:rPr>
          <w:rFonts w:ascii="Times New Roman" w:hAnsi="Times New Roman"/>
          <w:b/>
          <w:i w:val="false"/>
          <w:color w:val="000000"/>
          <w:sz w:val="22"/>
        </w:rPr>
        <w:t xml:space="preserve">Reports to federal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submission of any incident, annual, or other report to the U.S. Department of Transportation pursuant to 49 CFR Part 195, a pipeline company shall file a copy of the report with the commission. The commission shall also be advised of any telephonic incident report made by the pipeline company. The pipeline company shall notify the commission, as soon as possible, of any incident by emailing the duty officer at </w:t>
      </w:r>
      <w:hyperlink r:id="rId4">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is not available, by calling the commission duty officer at (515)745-2332.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val="false"/>
          <w:color w:val="000000"/>
          <w:sz w:val="22"/>
        </w:rPr>
        <w:t>Pipeline companies operating in other states shall provide to the commission data for Iowa only.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dutyofficer@iuc.iowa.gov"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