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199—13.13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Reportable changes to pipelines under permit.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pipeline company shall file prior notice with the commission of any of the following actions affecting a pipeline under permit: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Abandonment or removal from service. The pipeline company shall also notify the landowners of the abandonment or removal of the pipeline from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Pressure test or increase in maximum allowable operating pressure.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Replacement of a pipeline or significant portion thereof, not including short repair sections of pipe at least as strong as the original pipe.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notice shall include the docket and permit numbers of the pipeline, the location involved, a description of the proposed activity, anticipated dates of commencement and completion, revised maps and facility descriptions, where appropriate, and the name and telephone number of a person to contact for additional information.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5894C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9/8/21, effective 10/13/21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7/24/24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