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199—13.12</w:t>
      </w:r>
      <w:r>
        <w:rPr>
          <w:rFonts w:ascii="Times New Roman" w:hAnsi="Times New Roman"/>
          <w:b/>
          <w:i w:val="false"/>
          <w:color w:val="000000"/>
          <w:sz w:val="22"/>
        </w:rPr>
        <w:t xml:space="preserve">(479B) </w:t>
      </w:r>
      <w:r>
        <w:rPr>
          <w:rFonts w:ascii="Times New Roman" w:hAnsi="Times New Roman"/>
          <w:b/>
          <w:i w:val="false"/>
          <w:color w:val="000000"/>
          <w:sz w:val="22"/>
        </w:rPr>
        <w:t xml:space="preserve">Crossings of highways, railroads, and rivers.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4">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 xml:space="preserve"> gives the commission primary authority over the routing of pipelines. However, highway and railroad authorities and environmental agencies may have a jurisdictional interest in the routing of the pipeline, including requirements that permits or other authorizations be obtained prior to construction for crossings of highway or railroad right-of-way, or rivers or other bodies of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13.12(2)</w:t>
      </w:r>
      <w:r>
        <w:rPr>
          <w:rFonts w:ascii="Times New Roman" w:hAnsi="Times New Roman"/>
          <w:b w:val="false"/>
          <w:i w:val="false"/>
          <w:color w:val="000000"/>
          <w:sz w:val="22"/>
        </w:rPr>
        <w:t> </w:t>
      </w:r>
      <w:r>
        <w:rPr>
          <w:rFonts w:ascii="Times New Roman" w:hAnsi="Times New Roman"/>
          <w:b w:val="false"/>
          <w:i w:val="false"/>
          <w:color w:val="000000"/>
          <w:sz w:val="22"/>
        </w:rPr>
        <w:t>Approval of other authorities need not be obtained prior to petitioning the commission for a pipeline permit. The pipeline company shall file with the petition information that shows the pipeline company contacted the other necessary authorities in advance of filing the petition to determine what restrictions or conditions may be placed on the crossing by those authorities and to obtain information on any proposed reconstruction or relocation of existing facilities which may impact the routing of the pipeline. Approvals and any restrictions, conditions, or relocations of existing facilities are required to be filed with the commission prior to the grant of the permit. A pipeline company may request commission approval to begin construction on a segment of a pipeline prior to obtaining all necessary consents for construction of the entire pipeline.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13.12(3)</w:t>
      </w:r>
      <w:r>
        <w:rPr>
          <w:rFonts w:ascii="Times New Roman" w:hAnsi="Times New Roman"/>
          <w:b w:val="false"/>
          <w:i w:val="false"/>
          <w:color w:val="000000"/>
          <w:sz w:val="22"/>
        </w:rPr>
        <w:t> </w:t>
      </w:r>
      <w:r>
        <w:rPr>
          <w:rFonts w:ascii="Times New Roman" w:hAnsi="Times New Roman"/>
          <w:b w:val="false"/>
          <w:i w:val="false"/>
          <w:color w:val="000000"/>
          <w:sz w:val="22"/>
        </w:rPr>
        <w:t xml:space="preserve">Pipeline routes which include crossings of highway or railroad right-of-way at other than an approximate right angle, or longitudinally on the right-of-way, shall not be constructed unless a showing of consent by the appropriate authority has been provided by the pipeline company as required in paragraph </w:t>
      </w:r>
      <w:hyperlink r:id="rId5">
        <w:r>
          <w:rPr>
            <w:rStyle w:val="Hyperlink"/>
            <w:rFonts w:ascii="Times New Roman" w:hAnsi="Times New Roman"/>
            <w:b w:val="false"/>
            <w:i w:val="false"/>
            <w:color w:val="000000"/>
            <w:sz w:val="22"/>
          </w:rPr>
          <w:t>13.3(1)</w:t>
        </w:r>
      </w:hyperlink>
      <w:r>
        <w:rPr>
          <w:rFonts w:ascii="Times New Roman" w:hAnsi="Times New Roman"/>
          <w:b w:val="false"/>
          <w:i/>
          <w:color w:val="000000"/>
          <w:sz w:val="22"/>
        </w:rPr>
        <w: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9B.pdf" Type="http://schemas.openxmlformats.org/officeDocument/2006/relationships/hyperlink" Id="rId4"/>
    <Relationship TargetMode="External" Target="https://www.legis.iowa.gov/docs/iac/rule/199.13.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