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199—11.8</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extension of franchise.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Petition and exhibits. </w:t>
      </w:r>
      <w:r>
        <w:rPr>
          <w:rFonts w:ascii="Times New Roman" w:hAnsi="Times New Roman"/>
          <w:b w:val="false"/>
          <w:i w:val="false"/>
          <w:color w:val="000000"/>
          <w:sz w:val="22"/>
        </w:rPr>
        <w:t>A petition for an extension of a franchise shall be made on forms prescribed by the commission; shall be attested to by an officer, official, or attorney with authority to represent the electric company; and shall have all required exhibits attached. Exhibits in addition to those required by this rule may be attached when appropriate. For a transmission line that extends into more than one county, the electric company may file a petition to combine the separate county franchises into one franchise for the entire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of the route. The description shall include the name of the county, the maximum and nominal voltages, the beginning point and endpoint of the transmission line, and whether the route is on public, private, or railroad right-of-way. When the route is in or adjacent to the right-of-way of a named road or a railroad, the exhibit shall specifically identify the road or railroad by name. The description shall identify any termini located in other counties.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 xml:space="preserve">A map showing the route of the transmission line drawn with reasonable accuracy considering the scale. The map may be to any scale appropriate for the level of detail to be shown but may not be smaller than one inch to the mile and must be legible when printed on paper no larger than 11 by 17 inches. The following minimum information shall be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transmission line which is the subject of the petition, including beginning point and endpoint and, when the transmission line is parallel to a road or railroad, which side the line is on.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county, county and section lines, section numbers, and township and range numbers.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and identity of roads, railroads, named streams and bodies of water, and any other pertinent natural or man-made features or landmarks influencing the route.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corporate limits of cities.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 xml:space="preserve">Technical information and engineering specifications describing typical materials, equipment and assembly methods as specified on forms provided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 xml:space="preserve">The exhibit shall consist of a written text containing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listing of all existing franchises for which extension in whole or in part is sought, including the docket number, franchise number, date of issue, county of location, and to whom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listing of all amendments to the franchises listed in </w:t>
      </w:r>
      <w:hyperlink r:id="rId4">
        <w:r>
          <w:rPr>
            <w:rStyle w:val="Hyperlink"/>
            <w:rFonts w:ascii="Times New Roman" w:hAnsi="Times New Roman"/>
            <w:b w:val="false"/>
            <w:i w:val="false"/>
            <w:color w:val="000000"/>
            <w:sz w:val="22"/>
          </w:rPr>
          <w:t>subparagraph 11.8(1)</w:t>
        </w:r>
      </w:hyperlink>
      <w:r>
        <w:rPr>
          <w:rFonts w:ascii="Times New Roman" w:hAnsi="Times New Roman"/>
          <w:b w:val="false"/>
          <w:i/>
          <w:color w:val="000000"/>
          <w:sz w:val="22"/>
        </w:rPr>
        <w:t>“d”</w:t>
      </w:r>
      <w:r>
        <w:rPr>
          <w:rFonts w:ascii="Times New Roman" w:hAnsi="Times New Roman"/>
          <w:b w:val="false"/>
          <w:i w:val="false"/>
          <w:color w:val="000000"/>
          <w:sz w:val="22"/>
        </w:rPr>
        <w:t xml:space="preserve">(1), including the docket number, amendment number, date of issue, and purpose of the amendment.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substantial rebuilds, reconstructions, alterations, relocations, or changes in operation not included in a prior franchise or amendment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changes in ownership or operating and maintenance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 allegation, with supporting testimony, that the transmission line remains necessary to serve a public use and represents a reasonable relationship to an overall plan of transmitting electricity in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information or explanation in support of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Date for filing petition for extension. </w:t>
      </w:r>
      <w:r>
        <w:rPr>
          <w:rFonts w:ascii="Times New Roman" w:hAnsi="Times New Roman"/>
          <w:b w:val="false"/>
          <w:i w:val="false"/>
          <w:color w:val="000000"/>
          <w:sz w:val="22"/>
        </w:rPr>
        <w:t xml:space="preserve">A petition for an extension of a franchise shall be filed at least one year, and no more than five years, prior to expiration of the franchise. This requirement is not applicable to extensions of franchises that expire within one year of September 2, 2020. Extensions of existing countywide franchises are permitted; however, petitions to extend the franchises of separate transmission lines within a county by combining those transmission lines into a countywide franchise are not permitted using the franchise extension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When petition for extension unnecessary. </w:t>
      </w:r>
      <w:r>
        <w:rPr>
          <w:rFonts w:ascii="Times New Roman" w:hAnsi="Times New Roman"/>
          <w:b w:val="false"/>
          <w:i w:val="false"/>
          <w:color w:val="000000"/>
          <w:sz w:val="22"/>
        </w:rPr>
        <w:t xml:space="preserve">An extension of franchise is unnecessary for an electric line which is capable of operating at 69 kV or more when the electric line has been permanently retired from operation and the commission has been notified of the retirement. The notice to the commission shall include the franchise number and issue date, the docket number, and, if the entire franchised line is not retired, a map showing the location of the portion retired.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Petition for extension of countywide franchise. </w:t>
      </w:r>
      <w:r>
        <w:rPr>
          <w:rFonts w:ascii="Times New Roman" w:hAnsi="Times New Roman"/>
          <w:b w:val="false"/>
          <w:i w:val="false"/>
          <w:color w:val="000000"/>
          <w:sz w:val="22"/>
        </w:rPr>
        <w:t xml:space="preserve">A petition for an extension of a countywide franchise shall include all of the franchised lines owned by the electric company and within one county and a statement of whether the published notice will contain a legal description of the route or will include a telephone number and an address through which persons may request a map from the electric company at no cost. The map shall comply with the requirements in </w:t>
      </w:r>
      <w:hyperlink r:id="rId5">
        <w:r>
          <w:rPr>
            <w:rStyle w:val="Hyperlink"/>
            <w:rFonts w:ascii="Times New Roman" w:hAnsi="Times New Roman"/>
            <w:b w:val="false"/>
            <w:i w:val="false"/>
            <w:color w:val="000000"/>
            <w:sz w:val="22"/>
          </w:rPr>
          <w:t>subrule 11.8(6)</w:t>
        </w:r>
      </w:hyperlink>
      <w:r>
        <w:rPr>
          <w:rFonts w:ascii="Times New Roman" w:hAnsi="Times New Roman"/>
          <w:b w:val="false"/>
          <w:i w:val="false"/>
          <w:color w:val="000000"/>
          <w:sz w:val="22"/>
        </w:rPr>
        <w:t xml:space="preserve">. A copy of this map shall be filed with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for extension. </w:t>
      </w:r>
      <w:r>
        <w:rPr>
          <w:rFonts w:ascii="Times New Roman" w:hAnsi="Times New Roman"/>
          <w:b w:val="false"/>
          <w:i w:val="false"/>
          <w:color w:val="000000"/>
          <w:sz w:val="22"/>
        </w:rPr>
        <w:t>Whenever a petition for an extension of a franchise is filed with the commission, the commission shall prepare a notice addressed to the citizens of each county through which the transmission line or lines extend. The electric company shall cause this notice to be published for two consecutive weeks in a newspaper of general circulation in each county where the proposed line is to be located. Proof of publication shall be filed with the commission. This published notice shall constitute sufficient notice to all affected persons where the existing line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w:t>
      </w:r>
      <w:r>
        <w:rPr>
          <w:rFonts w:ascii="Times New Roman" w:hAnsi="Times New Roman"/>
          <w:b w:val="false"/>
          <w:i w:val="false"/>
          <w:color w:val="000000"/>
          <w:sz w:val="22"/>
        </w:rPr>
        <w:t> </w:t>
      </w:r>
      <w:r>
        <w:rPr>
          <w:rFonts w:ascii="Times New Roman" w:hAnsi="Times New Roman"/>
          <w:b w:val="false"/>
          <w:i/>
          <w:color w:val="000000"/>
          <w:sz w:val="22"/>
        </w:rPr>
        <w:t xml:space="preserve">Maps in published notice. </w:t>
      </w:r>
      <w:r>
        <w:rPr>
          <w:rFonts w:ascii="Times New Roman" w:hAnsi="Times New Roman"/>
          <w:b w:val="false"/>
          <w:i w:val="false"/>
          <w:color w:val="000000"/>
          <w:sz w:val="22"/>
        </w:rPr>
        <w:t xml:space="preserve">Published notices of petitions for franchise shall include provisions whereby interested persons can examine a map of the route. When the petition is filed, the electric company shall state whether a map is to be published with the notice or whether the notice is to include a telephone number and an address through which persons may request a map from the electric company at no cost. The map required by this subrule need not be as detailed as the Exhibit B map but shall include at minimum the proposed route, section lines, section and township numbers, roads and railroads, city boundaries, and rivers and named bodies of water. A copy of this map shall be filed with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persons. </w:t>
      </w:r>
      <w:r>
        <w:rPr>
          <w:rFonts w:ascii="Times New Roman" w:hAnsi="Times New Roman"/>
          <w:b w:val="false"/>
          <w:i w:val="false"/>
          <w:color w:val="000000"/>
          <w:sz w:val="22"/>
        </w:rPr>
        <w:t xml:space="preserve">The electric company shall give written notice, by ordinary mail, mailed at the time the petition is filed with the commission, accompanied by a map showing the route of the proposed transmission line, to the persons identified in subparagraphs </w:t>
      </w:r>
      <w:hyperlink r:id="rId6">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w:t>
      </w:r>
      <w:hyperlink r:id="rId7">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11.8.pdf" Type="http://schemas.openxmlformats.org/officeDocument/2006/relationships/hyperlink" Id="rId4"/>
    <Relationship TargetMode="External" Target="https://www.legis.iowa.gov/docs/iac/rule/199.11.8.pdf" Type="http://schemas.openxmlformats.org/officeDocument/2006/relationships/hyperlink" Id="rId5"/>
    <Relationship TargetMode="External" Target="https://www.legis.iowa.gov/docs/iac/rule/199.11.5.pdf" Type="http://schemas.openxmlformats.org/officeDocument/2006/relationships/hyperlink" Id="rId6"/>
    <Relationship TargetMode="External" Target="https://www.legis.iowa.gov/docs/iac/rule/199.11.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