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199—11.12</w:t>
      </w:r>
      <w:r>
        <w:rPr>
          <w:rFonts w:ascii="Times New Roman" w:hAnsi="Times New Roman"/>
          <w:b/>
          <w:i w:val="false"/>
          <w:color w:val="000000"/>
          <w:sz w:val="22"/>
        </w:rPr>
        <w:t xml:space="preserve">(478) </w:t>
      </w:r>
      <w:r>
        <w:rPr>
          <w:rFonts w:ascii="Times New Roman" w:hAnsi="Times New Roman"/>
          <w:b/>
          <w:i w:val="false"/>
          <w:color w:val="000000"/>
          <w:sz w:val="22"/>
        </w:rPr>
        <w:t xml:space="preserve">Termination of franchise petition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docket. </w:t>
      </w:r>
      <w:r>
        <w:rPr>
          <w:rFonts w:ascii="Times New Roman" w:hAnsi="Times New Roman"/>
          <w:b w:val="false"/>
          <w:i w:val="false"/>
          <w:color w:val="000000"/>
          <w:sz w:val="22"/>
        </w:rPr>
        <w:t xml:space="preserve">Upon written notice to the commission by an electric company that a franchise petition or petition for amendment of a franchise is withdrawn, the docket shall be closed.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Failure to respond. </w:t>
      </w:r>
      <w:r>
        <w:rPr>
          <w:rFonts w:ascii="Times New Roman" w:hAnsi="Times New Roman"/>
          <w:b w:val="false"/>
          <w:i w:val="false"/>
          <w:color w:val="000000"/>
          <w:sz w:val="22"/>
        </w:rPr>
        <w:t>If an electric company fails to respond to written notification by the commission, to correct an incomplete or deficient franchise petition, or to publish the official notice after the form of notice is provided by the commission, the commission may dismiss the petition as abandoned. If dismissal would cause an existing transmission line to be without a franchise, the commission may also pursue imposition of civil penalties.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