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199—11.1</w:t>
      </w:r>
      <w:r>
        <w:rPr>
          <w:rFonts w:ascii="Times New Roman" w:hAnsi="Times New Roman"/>
          <w:b/>
          <w:i w:val="false"/>
          <w:color w:val="000000"/>
          <w:sz w:val="22"/>
        </w:rPr>
        <w:t xml:space="preserve">(478)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Purpose and authority. </w:t>
      </w:r>
      <w:r>
        <w:rPr>
          <w:rFonts w:ascii="Times New Roman" w:hAnsi="Times New Roman"/>
          <w:b w:val="false"/>
          <w:i w:val="false"/>
          <w:color w:val="000000"/>
          <w:sz w:val="22"/>
        </w:rPr>
        <w:t xml:space="preserve">The purpose of this chapter is to implement the requirements in Iowa Code chapter </w:t>
      </w:r>
      <w:hyperlink r:id="rId4">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and to establish procedures for electric franchise proceedings before the Iowa utilities commission. This chapter shall apply to any person engaged in the construction, operation, and maintenance of electric transmission lines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Iowa electrical safety code. </w:t>
      </w:r>
      <w:r>
        <w:rPr>
          <w:rFonts w:ascii="Times New Roman" w:hAnsi="Times New Roman"/>
          <w:b w:val="false"/>
          <w:i w:val="false"/>
          <w:color w:val="000000"/>
          <w:sz w:val="22"/>
        </w:rPr>
        <w:t xml:space="preserve">Overhead and underground electric line minimum safety requirements to be applied in installation, operation, and maintenance are found in </w:t>
      </w:r>
      <w:hyperlink r:id="rId5">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xml:space="preserve">, Iowa electrical safety code.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 xml:space="preserve">A petition for franchise, and all other filings, shall be considered filed when accepted for filing by the commission pursuant to </w:t>
      </w:r>
      <w:hyperlink r:id="rId6">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Franchise, when required. </w:t>
      </w:r>
      <w:r>
        <w:rPr>
          <w:rFonts w:ascii="Times New Roman" w:hAnsi="Times New Roman"/>
          <w:b w:val="false"/>
          <w:i w:val="false"/>
          <w:color w:val="000000"/>
          <w:sz w:val="22"/>
        </w:rPr>
        <w:t xml:space="preserve">An electric franchise shall be required for the construction, operation, and maintenance of any electric line capable of operating at 69,000 volts (69 kV) or more outside of cities, except that a franchise is not required for electric lines located entirely within the boundaries of property owned by a person engaged in the transmission or distribution of electric power or an end user.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8.pdf" Type="http://schemas.openxmlformats.org/officeDocument/2006/relationships/hyperlink" Id="rId4"/>
    <Relationship TargetMode="External" Target="https://www.legis.iowa.gov/docs/iac/chapter/199.25.pdf" Type="http://schemas.openxmlformats.org/officeDocument/2006/relationships/hyperlink" Id="rId5"/>
    <Relationship TargetMode="External" Target="https://www.legis.iowa.gov/docs/iac/chapter/199.1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