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193G—7.5</w:t>
      </w:r>
      <w:r>
        <w:rPr>
          <w:rFonts w:ascii="Times New Roman" w:hAnsi="Times New Roman"/>
          <w:b/>
          <w:i w:val="false"/>
          <w:color w:val="000000"/>
          <w:sz w:val="22"/>
        </w:rPr>
        <w:t xml:space="preserve">(272C,544C)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4">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(17A,272C) shall include the reinstatement of a suspended registration, the modification or removal of a practice restriction, the issuance of a registration following the denial of an application to renew a registration, and the issuance of a new registration following the revocation or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Any person whose registration has been revoked, suspended or restricted by the board, or who has voluntarily surrendered a registration to conclude a disciplinary investigation or proceeding, or whose application to renew a registration has been denied may apply to the board to modify or terminate the suspension, issue or reissue the registration, or modify or remove the restriction in accordance with the provisions of this rule, and the terms of the order of revocation, suspension or restriction, denial of registration renewal, or acceptance of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registrant may apply for reinstatement, an initial application for reinstatement may not be made until one year has elapsed from the date of the order which revoked, suspended or restricted the registration, denied registration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shall be initiated by the respondent and shall be subject to the procedures set forth in rule </w:t>
      </w:r>
      <w:hyperlink r:id="rId5">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(17A,272C). In addition, the board may grant an applicant’s request to appear informally before the board prior to the issuance of a notice of hearing on the application if the applicant requests an informal appearance in the application and agrees not to seek to disqualify on the ground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6">
        <w:r>
          <w:rPr>
            <w:rStyle w:val="Hyperlink"/>
            <w:rFonts w:ascii="Times New Roman" w:hAnsi="Times New Roman"/>
            <w:b w:val="false"/>
            <w:i w:val="false"/>
            <w:color w:val="000000"/>
            <w:sz w:val="22"/>
          </w:rPr>
          <w:t>193G—7.3</w:t>
        </w:r>
      </w:hyperlink>
      <w:r>
        <w:rPr>
          <w:rFonts w:ascii="Times New Roman" w:hAnsi="Times New Roman"/>
          <w:b w:val="false"/>
          <w:i w:val="false"/>
          <w:color w:val="000000"/>
          <w:sz w:val="22"/>
        </w:rPr>
        <w:t>(272C,544C).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val="false"/>
          <w:color w:val="000000"/>
          <w:sz w:val="22"/>
        </w:rPr>
        <w:t>The board shall not grant an application for reinstatement when the initial order which revoked, suspended or restricted the registration, denied registration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3.7.38.pdf" Type="http://schemas.openxmlformats.org/officeDocument/2006/relationships/hyperlink" Id="rId4"/>
    <Relationship TargetMode="External" Target="https://www.legis.iowa.gov/docs/iac/rule/193.7.38.pdf" Type="http://schemas.openxmlformats.org/officeDocument/2006/relationships/hyperlink" Id="rId5"/>
    <Relationship TargetMode="External" Target="https://www.legis.iowa.gov/docs/iac/rule/193G.7.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