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193G—7.4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Publication of decisions.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publish in the board’s newsletter, or in another professional publication designated by the board, the name of each registrant disciplined by the board, along with a brief description of the underlying circumstances, regardless of the nature of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issue a formal press release in those instances in which a registration has been suspended or revoked.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notify other state interior design boards that have issued a similar license to an Iowa registrant of disciplinary action taken against the Iowa registrant. The board shall also notify the NCIDQ of disciplinary action taken against an Iowa registrant.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3024C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4/12/17, effective 5/17/17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