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193G—7.3</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7.3(1)</w:t>
      </w:r>
      <w:r>
        <w:rPr>
          <w:rFonts w:ascii="Times New Roman" w:hAnsi="Times New Roman"/>
          <w:b w:val="false"/>
          <w:i w:val="false"/>
          <w:color w:val="000000"/>
          <w:sz w:val="22"/>
        </w:rPr>
        <w:t> </w:t>
      </w:r>
      <w:r>
        <w:rPr>
          <w:rFonts w:ascii="Times New Roman" w:hAnsi="Times New Roman"/>
          <w:b w:val="false"/>
          <w:i/>
          <w:color w:val="000000"/>
          <w:sz w:val="22"/>
        </w:rPr>
        <w:t xml:space="preserve">Type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the amount of which shall be at the discretion of the board, but which shall not exceed $1,000 per violation. Civil penalties may be imposed for any of the disciplinary violations specified in rule </w:t>
      </w:r>
      <w:hyperlink r:id="rId4">
        <w:r>
          <w:rPr>
            <w:rStyle w:val="Hyperlink"/>
            <w:rFonts w:ascii="Times New Roman" w:hAnsi="Times New Roman"/>
            <w:b w:val="false"/>
            <w:i w:val="false"/>
            <w:color w:val="000000"/>
            <w:sz w:val="22"/>
          </w:rPr>
          <w:t>193G—5.2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contested case or pending disciplinary investigation.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shall be published in the same manner as is applicable to any other form of disciplinary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the registrant shall file with the board copies of the notices sent pursuant to paragraph </w:t>
      </w:r>
      <w:hyperlink r:id="rId5">
        <w:r>
          <w:rPr>
            <w:rStyle w:val="Hyperlink"/>
            <w:rFonts w:ascii="Times New Roman" w:hAnsi="Times New Roman"/>
            <w:b w:val="false"/>
            <w:i w:val="false"/>
            <w:color w:val="000000"/>
            <w:sz w:val="22"/>
          </w:rPr>
          <w:t>7.3(4)</w:t>
        </w:r>
        <w:r>
          <w:rPr>
            <w:rFonts w:ascii="Times New Roman" w:hAnsi="Times New Roman"/>
            <w:b w:val="false"/>
            <w:i/>
            <w:color w:val="000000"/>
            <w:sz w:val="22"/>
          </w:rPr>
          <w:t>“a.”</w:t>
        </w:r>
      </w:hyperlink>
      <w:r>
        <w:rPr>
          <w:rFonts w:ascii="Times New Roman" w:hAnsi="Times New Roman"/>
          <w:b w:val="false"/>
          <w:i w:val="false"/>
          <w:color w:val="000000"/>
          <w:sz w:val="22"/>
        </w:rPr>
        <w:t xml:space="preserve"> Compliance with this requirement shall be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and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3G.5.2.pdf" Type="http://schemas.openxmlformats.org/officeDocument/2006/relationships/hyperlink" Id="rId4"/>
    <Relationship TargetMode="External" Target="https://www.legis.iowa.gov/docs/iac/rule/193G.7.3.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