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193G—3.4</w:t>
      </w:r>
      <w:r>
        <w:rPr>
          <w:rFonts w:ascii="Times New Roman" w:hAnsi="Times New Roman"/>
          <w:b/>
          <w:i w:val="false"/>
          <w:color w:val="000000"/>
          <w:sz w:val="22"/>
        </w:rPr>
        <w:t xml:space="preserve">(17A,544C) </w:t>
      </w:r>
      <w:r>
        <w:rPr>
          <w:rFonts w:ascii="Times New Roman" w:hAnsi="Times New Roman"/>
          <w:b/>
          <w:i w:val="false"/>
          <w:color w:val="000000"/>
          <w:sz w:val="22"/>
        </w:rPr>
        <w:t xml:space="preserve">Hearings. </w:t>
      </w:r>
      <w:r>
        <w:rPr>
          <w:rFonts w:ascii="Times New Roman" w:hAnsi="Times New Roman"/>
          <w:b w:val="false"/>
          <w:i w:val="false"/>
          <w:color w:val="000000"/>
          <w:sz w:val="22"/>
        </w:rPr>
        <w:t>If the board disallows any continuing education hours, the registrant shall have 60 days from notice of such disallowance to either provide further evidence of having completed the continuing education hours disallowed or remedy the disallowance by completing the required number of continuing education hours (provided that such continuing education hours shall not again be used for the next renewal). In the event of denial, in whole or in part, of any application for approval of credit for continuing education activity, the registrant shall have the right, within 20 days after the date of notification of the denial by mail, to request a hearing by the board. The hearing shall be held within 60 days after receipt of the request for the hearing. The decision of the board shall be final. If the board finds, after proper notice and hearing, that the registrant willfully disregarded the continuing education requirements set forth in this chapter or falsified documentation of the required continuing education hours, the registrant may be subject to disciplinary action.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3025C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