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193G—3.2</w:t>
      </w:r>
      <w:r>
        <w:rPr>
          <w:rFonts w:ascii="Times New Roman" w:hAnsi="Times New Roman"/>
          <w:b/>
          <w:i w:val="false"/>
          <w:color w:val="000000"/>
          <w:sz w:val="22"/>
        </w:rPr>
        <w:t xml:space="preserve">(17A,272C,544C) </w:t>
      </w:r>
      <w:r>
        <w:rPr>
          <w:rFonts w:ascii="Times New Roman" w:hAnsi="Times New Roman"/>
          <w:b/>
          <w:i w:val="false"/>
          <w:color w:val="000000"/>
          <w:sz w:val="22"/>
        </w:rPr>
        <w:t xml:space="preserve">Continuing education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3.2(1)</w:t>
      </w:r>
      <w:r>
        <w:rPr>
          <w:rFonts w:ascii="Times New Roman" w:hAnsi="Times New Roman"/>
          <w:b w:val="false"/>
          <w:i w:val="false"/>
          <w:color w:val="000000"/>
          <w:sz w:val="22"/>
        </w:rPr>
        <w:t> </w:t>
      </w:r>
      <w:r>
        <w:rPr>
          <w:rFonts w:ascii="Times New Roman" w:hAnsi="Times New Roman"/>
          <w:b w:val="false"/>
          <w:i w:val="false"/>
          <w:color w:val="000000"/>
          <w:sz w:val="22"/>
        </w:rPr>
        <w:t>Hours required. Each registrant shall complete a minimum of 10 contact hours in acceptable health, safety and welfare subjects for continuing education. All hours shall be in structured activity programs and must be acquired during the renewal period. Carryover hours from a previous renewal are not allowed.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3.2(2)</w:t>
      </w:r>
      <w:r>
        <w:rPr>
          <w:rFonts w:ascii="Times New Roman" w:hAnsi="Times New Roman"/>
          <w:b w:val="false"/>
          <w:i w:val="false"/>
          <w:color w:val="000000"/>
          <w:sz w:val="22"/>
        </w:rPr>
        <w:t> </w:t>
      </w:r>
      <w:r>
        <w:rPr>
          <w:rFonts w:ascii="Times New Roman" w:hAnsi="Times New Roman"/>
          <w:b w:val="false"/>
          <w:i w:val="false"/>
          <w:color w:val="000000"/>
          <w:sz w:val="22"/>
        </w:rPr>
        <w:t>Continuing education hours need not be acquired in this state, provided that the registrant can demonstrate that the program meets the definition of structured activity as defined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3.2(3)</w:t>
      </w:r>
      <w:r>
        <w:rPr>
          <w:rFonts w:ascii="Times New Roman" w:hAnsi="Times New Roman"/>
          <w:b w:val="false"/>
          <w:i w:val="false"/>
          <w:color w:val="000000"/>
          <w:sz w:val="22"/>
        </w:rPr>
        <w:t> </w:t>
      </w:r>
      <w:r>
        <w:rPr>
          <w:rFonts w:ascii="Times New Roman" w:hAnsi="Times New Roman"/>
          <w:b w:val="false"/>
          <w:i w:val="false"/>
          <w:color w:val="000000"/>
          <w:sz w:val="22"/>
        </w:rPr>
        <w:t>A registered interior designer who holds a registration in Iowa for less than 12 months from the date of initial registration shall not be required to report continuing education at the first registration renewal. A registered interior designer who holds a registration in Iowa for 12 months or more, but less than 24 months from the date of initial registration, shall be required to report 5 contact hours of HSW subjects in a structured activity, earned in the preceding 12 months, at the first registration renewal.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3.2(4)</w:t>
      </w:r>
      <w:r>
        <w:rPr>
          <w:rFonts w:ascii="Times New Roman" w:hAnsi="Times New Roman"/>
          <w:b w:val="false"/>
          <w:i w:val="false"/>
          <w:color w:val="000000"/>
          <w:sz w:val="22"/>
        </w:rPr>
        <w:t> </w:t>
      </w:r>
      <w:r>
        <w:rPr>
          <w:rFonts w:ascii="Times New Roman" w:hAnsi="Times New Roman"/>
          <w:b w:val="false"/>
          <w:i w:val="false"/>
          <w:color w:val="000000"/>
          <w:sz w:val="22"/>
        </w:rPr>
        <w:t>Sources of continuing education. Credit may not be claimed for any activity required as part of a registered interior designer’s routine professional responsibilities. Structured activities include: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Completion of any program or course sponsored by a professional or technical organization or industry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Instruction of a course, seminar, lecture, presentation, workshop or similar formal educational program. Credit shall be allowed at a maximum of 3 preparation hours for each class hour spent for actual presentation, valid for the initial presentation only. College and university faculty may not claim contact or preparation credit for teaching regular curriculum courses.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Research that is formally presented to the profession or public. Credit shall be allowed at a maximum of 4 contact hours per reporting period and shall be valid for the initial presentation only.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Completion of college or university credit courses dealing with interior design-related subjects. Each semester hour shall equal 15 contact hours. A quarter hour shall equal 10 contact hours.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3.2(5)</w:t>
      </w:r>
      <w:r>
        <w:rPr>
          <w:rFonts w:ascii="Times New Roman" w:hAnsi="Times New Roman"/>
          <w:b w:val="false"/>
          <w:i w:val="false"/>
          <w:color w:val="000000"/>
          <w:sz w:val="22"/>
        </w:rPr>
        <w:t> </w:t>
      </w:r>
      <w:r>
        <w:rPr>
          <w:rFonts w:ascii="Times New Roman" w:hAnsi="Times New Roman"/>
          <w:b w:val="false"/>
          <w:i w:val="false"/>
          <w:color w:val="000000"/>
          <w:sz w:val="22"/>
        </w:rPr>
        <w:t>Approved continuing education. The board does not preapprove continuing education activities or courses; however, acceptable HSW subjects that enhance the health, safety, and well-being of the public include the following topics: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Life safety, ADA, and other building and safety codes, standards and administrative regulations governing the practice of interior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Safety and security.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Physical and mental health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Topics that relate to human physiology, perception, anthropometrics, ergonomics, psychology, sociology, ecology and cultural factors.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Energy efficiency.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Environmental issues.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Accessibility and universal design.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Materials and methods.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Building systems.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Statutes and rules relating to interior design regulation.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Professional ethics.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Legal aspects of professional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Construction documents and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Project administration.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3025C</w:t>
      </w:r>
      <w:r>
        <w:rPr>
          <w:rFonts w:ascii="Times New Roman" w:hAnsi="Times New Roman"/>
          <w:b w:val="false"/>
          <w:i w:val="false"/>
          <w:color w:val="000000"/>
          <w:sz w:val="16"/>
        </w:rPr>
        <w:t>, IAB 4/12/17, effective 5/17/17</w:t>
      </w:r>
      <w:r>
        <w:rPr>
          <w:rFonts w:ascii="Times New Roman" w:hAnsi="Times New Roman"/>
          <w:b w:val="false"/>
          <w:i w:val="false"/>
          <w:color w:val="000000"/>
          <w:sz w:val="16"/>
        </w:rPr>
        <w:t xml:space="preserve">; </w:t>
      </w:r>
      <w:r>
        <w:rPr>
          <w:rFonts w:ascii="Times New Roman" w:hAnsi="Times New Roman"/>
          <w:b/>
          <w:i w:val="false"/>
          <w:color w:val="000000"/>
          <w:sz w:val="16"/>
        </w:rPr>
        <w:t>ARC 4011C</w:t>
      </w:r>
      <w:r>
        <w:rPr>
          <w:rFonts w:ascii="Times New Roman" w:hAnsi="Times New Roman"/>
          <w:b w:val="false"/>
          <w:i w:val="false"/>
          <w:color w:val="000000"/>
          <w:sz w:val="16"/>
        </w:rPr>
        <w:t>, IAB 9/26/18, effective 10/31/18</w:t>
      </w:r>
      <w:r>
        <w:rPr>
          <w:rFonts w:ascii="Times New Roman" w:hAnsi="Times New Roman"/>
          <w:b w:val="false"/>
          <w:i w:val="false"/>
          <w:color w:val="000000"/>
          <w:sz w:val="16"/>
        </w:rPr>
        <w:t xml:space="preserve">; </w:t>
      </w:r>
      <w:r>
        <w:rPr>
          <w:rFonts w:ascii="Times New Roman" w:hAnsi="Times New Roman"/>
          <w:b/>
          <w:i w:val="false"/>
          <w:color w:val="000000"/>
          <w:sz w:val="16"/>
        </w:rPr>
        <w:t>ARC 5568C</w:t>
      </w:r>
      <w:r>
        <w:rPr>
          <w:rFonts w:ascii="Times New Roman" w:hAnsi="Times New Roman"/>
          <w:b w:val="false"/>
          <w:i w:val="false"/>
          <w:color w:val="000000"/>
          <w:sz w:val="16"/>
        </w:rPr>
        <w:t>, IAB 4/21/21, effective 5/26/21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