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r>
        <w:rPr>
          <w:rFonts w:ascii="Times New Roman" w:hAnsi="Times New Roman"/>
          <w:b w:val="false"/>
          <w:i w:val="false"/>
          <w:color w:val="000000"/>
          <w:sz w:val="22"/>
        </w:rPr>
        <w:t xml:space="preserve">The division shall not issue a declaratory order where prohibited by Iowa Code section </w:t>
      </w:r>
      <w:hyperlink r:id="rId4">
        <w:r>
          <w:rPr>
            <w:rStyle w:val="Hyperlink"/>
            <w:rFonts w:ascii="Times New Roman" w:hAnsi="Times New Roman"/>
            <w:b w:val="false"/>
            <w:i w:val="false"/>
            <w:color w:val="000000"/>
            <w:sz w:val="22"/>
          </w:rPr>
          <w:t>17A.9(1)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division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division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division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color w:val="000000"/>
          <w:sz w:val="22"/>
        </w:rPr>
        <w:t xml:space="preserve">Grounds for refusal. </w:t>
      </w:r>
      <w:r>
        <w:rPr>
          <w:rFonts w:ascii="Times New Roman" w:hAnsi="Times New Roman"/>
          <w:b w:val="false"/>
          <w:i w:val="false"/>
          <w:color w:val="000000"/>
          <w:sz w:val="22"/>
        </w:rPr>
        <w:t>A refusal to issue a declaratory order shall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color w:val="000000"/>
          <w:sz w:val="22"/>
        </w:rPr>
        <w:t xml:space="preserve">Filing of new petition.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