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Qualified persons. </w:t>
      </w:r>
      <w:r>
        <w:rPr>
          <w:rFonts w:ascii="Times New Roman" w:hAnsi="Times New Roman"/>
          <w:b w:val="false"/>
          <w:i w:val="false"/>
          <w:color w:val="000000"/>
          <w:sz w:val="22"/>
        </w:rPr>
        <w:t xml:space="preserve">Persons who qualify under any applicable provision of law as an intervenor and who file a petition for intervention within 15 days of the filing of a petition for declaratory order (after time for notice under rule </w:t>
      </w:r>
      <w:hyperlink r:id="rId4">
        <w:r>
          <w:rPr>
            <w:rStyle w:val="Hyperlink"/>
            <w:rFonts w:ascii="Times New Roman" w:hAnsi="Times New Roman"/>
            <w:b w:val="false"/>
            <w:i w:val="false"/>
            <w:color w:val="000000"/>
            <w:sz w:val="22"/>
          </w:rPr>
          <w:t>3.2(17A)</w:t>
        </w:r>
      </w:hyperlink>
      <w:r>
        <w:rPr>
          <w:rFonts w:ascii="Times New Roman" w:hAnsi="Times New Roman"/>
          <w:b w:val="false"/>
          <w:i w:val="false"/>
          <w:color w:val="000000"/>
          <w:sz w:val="22"/>
        </w:rPr>
        <w:t xml:space="preserve"> and before 30-day time for agency action under </w:t>
      </w:r>
      <w:hyperlink r:id="rId5">
        <w:r>
          <w:rPr>
            <w:rStyle w:val="Hyperlink"/>
            <w:rFonts w:ascii="Times New Roman" w:hAnsi="Times New Roman"/>
            <w:b w:val="false"/>
            <w:i w:val="false"/>
            <w:color w:val="000000"/>
            <w:sz w:val="22"/>
          </w:rPr>
          <w:t>3.8(17A)</w:t>
        </w:r>
      </w:hyperlink>
      <w:r>
        <w:rPr>
          <w:rFonts w:ascii="Times New Roman" w:hAnsi="Times New Roman"/>
          <w:b w:val="false"/>
          <w:i w:val="false"/>
          <w:color w:val="000000"/>
          <w:sz w:val="22"/>
        </w:rPr>
        <w:t>)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Agency discretion.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intervention shall be filed at 1918 S.E. Hulsizer Road, Ankeny, Iowa 50021. Such a petition is deemed filed when it is received by that office. The division will provide the petitioner with a file-stamped copy of the petition for intervention if the petitioner provides an extra copy for this purpose. A petition for intervention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ALCOHOLIC BEVERAGES DIVISION</w:t>
            </w:r>
          </w:p>
        </w:tc>
      </w:tr>
      <w:tr>
        <w:trPr>
          <w:trHeight w:val="139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shall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shall be dated and signed by the intervenor or the intervenor’s representative. It shall also include the name, mailing address, and telephone number of the intervenor and intervenor’s representative, and a statement indicating the person to whom communications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3.2.pdf" Type="http://schemas.openxmlformats.org/officeDocument/2006/relationships/hyperlink" Id="rId4"/>
    <Relationship TargetMode="External" Target="https://www.legis.iowa.gov/docs/iac/rule/185.3.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